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C2" w:rsidRDefault="0004469D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PGN</w:t>
      </w:r>
      <w:r w:rsidR="00CE1547" w:rsidRPr="009978CF">
        <w:rPr>
          <w:rFonts w:cs="Times New Roman"/>
          <w:sz w:val="24"/>
          <w:szCs w:val="24"/>
        </w:rPr>
        <w:t>.6845.</w:t>
      </w:r>
      <w:r w:rsidR="00994818" w:rsidRPr="009978CF">
        <w:rPr>
          <w:rFonts w:cs="Times New Roman"/>
          <w:sz w:val="24"/>
          <w:szCs w:val="24"/>
        </w:rPr>
        <w:t>72</w:t>
      </w:r>
      <w:r w:rsidR="00CE1547" w:rsidRPr="009978CF">
        <w:rPr>
          <w:rFonts w:cs="Times New Roman"/>
          <w:sz w:val="24"/>
          <w:szCs w:val="24"/>
        </w:rPr>
        <w:t>.20</w:t>
      </w:r>
      <w:r w:rsidRPr="009978CF">
        <w:rPr>
          <w:rFonts w:cs="Times New Roman"/>
          <w:sz w:val="24"/>
          <w:szCs w:val="24"/>
        </w:rPr>
        <w:t>21</w:t>
      </w:r>
      <w:r w:rsidR="00CE1547" w:rsidRPr="009978CF">
        <w:rPr>
          <w:rFonts w:cs="Times New Roman"/>
          <w:sz w:val="24"/>
          <w:szCs w:val="24"/>
        </w:rPr>
        <w:t xml:space="preserve">                                       </w:t>
      </w:r>
      <w:r w:rsidR="00293659" w:rsidRPr="009978CF">
        <w:rPr>
          <w:rFonts w:cs="Times New Roman"/>
          <w:sz w:val="24"/>
          <w:szCs w:val="24"/>
        </w:rPr>
        <w:t xml:space="preserve">         </w:t>
      </w:r>
      <w:r w:rsidR="00CE1547" w:rsidRPr="009978CF">
        <w:rPr>
          <w:rFonts w:cs="Times New Roman"/>
          <w:sz w:val="24"/>
          <w:szCs w:val="24"/>
        </w:rPr>
        <w:t xml:space="preserve">  </w:t>
      </w:r>
    </w:p>
    <w:p w:rsidR="006E27C2" w:rsidRDefault="006E27C2" w:rsidP="007C46AF">
      <w:pPr>
        <w:spacing w:after="0"/>
        <w:ind w:left="-142" w:right="-284"/>
        <w:rPr>
          <w:rFonts w:cs="Times New Roman"/>
          <w:sz w:val="24"/>
          <w:szCs w:val="24"/>
        </w:rPr>
      </w:pPr>
    </w:p>
    <w:p w:rsidR="006E27C2" w:rsidRDefault="006E27C2" w:rsidP="007C46AF">
      <w:pPr>
        <w:spacing w:after="0"/>
        <w:ind w:left="-142" w:right="-284"/>
        <w:rPr>
          <w:rFonts w:cs="Times New Roman"/>
          <w:sz w:val="24"/>
          <w:szCs w:val="24"/>
        </w:rPr>
      </w:pPr>
    </w:p>
    <w:p w:rsidR="00D00E38" w:rsidRPr="009978CF" w:rsidRDefault="00D00E38" w:rsidP="006E27C2">
      <w:pPr>
        <w:spacing w:after="0"/>
        <w:ind w:left="-142" w:right="-284"/>
        <w:jc w:val="center"/>
        <w:rPr>
          <w:rFonts w:cs="Times New Roman"/>
          <w:sz w:val="24"/>
          <w:szCs w:val="24"/>
        </w:rPr>
      </w:pPr>
      <w:r w:rsidRPr="009978CF">
        <w:rPr>
          <w:rFonts w:cs="Times New Roman"/>
          <w:b/>
          <w:sz w:val="24"/>
          <w:szCs w:val="24"/>
        </w:rPr>
        <w:t>OGŁOSZENIE O PRZETARGU</w:t>
      </w:r>
    </w:p>
    <w:p w:rsidR="0003410C" w:rsidRPr="009978CF" w:rsidRDefault="0003410C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Na podstawie przepisów  ustawy z dnia 21 sierpnia 1997 r. o gospodarce nieruchomościami (Dz. U. z 20</w:t>
      </w:r>
      <w:r w:rsidR="005E27F8" w:rsidRPr="009978CF">
        <w:rPr>
          <w:rFonts w:cs="Times New Roman"/>
          <w:sz w:val="24"/>
          <w:szCs w:val="24"/>
        </w:rPr>
        <w:t>21</w:t>
      </w:r>
      <w:r w:rsidRPr="009978CF">
        <w:rPr>
          <w:rFonts w:cs="Times New Roman"/>
          <w:sz w:val="24"/>
          <w:szCs w:val="24"/>
        </w:rPr>
        <w:t xml:space="preserve"> r. poz. </w:t>
      </w:r>
      <w:r w:rsidR="005E27F8" w:rsidRPr="009978CF">
        <w:rPr>
          <w:rFonts w:cs="Times New Roman"/>
          <w:sz w:val="24"/>
          <w:szCs w:val="24"/>
        </w:rPr>
        <w:t>1899</w:t>
      </w:r>
      <w:r w:rsidR="0004469D" w:rsidRPr="009978CF">
        <w:rPr>
          <w:rFonts w:cs="Times New Roman"/>
          <w:sz w:val="24"/>
          <w:szCs w:val="24"/>
        </w:rPr>
        <w:t xml:space="preserve"> </w:t>
      </w:r>
      <w:r w:rsidRPr="009978CF">
        <w:rPr>
          <w:rFonts w:cs="Times New Roman"/>
          <w:sz w:val="24"/>
          <w:szCs w:val="24"/>
        </w:rPr>
        <w:t xml:space="preserve">z </w:t>
      </w:r>
      <w:proofErr w:type="spellStart"/>
      <w:r w:rsidRPr="009978CF">
        <w:rPr>
          <w:rFonts w:cs="Times New Roman"/>
          <w:sz w:val="24"/>
          <w:szCs w:val="24"/>
        </w:rPr>
        <w:t>późn</w:t>
      </w:r>
      <w:proofErr w:type="spellEnd"/>
      <w:r w:rsidRPr="009978CF">
        <w:rPr>
          <w:rFonts w:cs="Times New Roman"/>
          <w:sz w:val="24"/>
          <w:szCs w:val="24"/>
        </w:rPr>
        <w:t>. zm.)</w:t>
      </w:r>
    </w:p>
    <w:p w:rsidR="004300E6" w:rsidRPr="009978CF" w:rsidRDefault="00F8624A" w:rsidP="006E27C2">
      <w:pPr>
        <w:spacing w:after="0"/>
        <w:ind w:left="-142" w:right="-284"/>
        <w:rPr>
          <w:rFonts w:cs="Times New Roman"/>
          <w:b/>
          <w:sz w:val="24"/>
          <w:szCs w:val="24"/>
        </w:rPr>
      </w:pPr>
      <w:r w:rsidRPr="009978CF">
        <w:rPr>
          <w:rFonts w:cs="Times New Roman"/>
          <w:b/>
          <w:sz w:val="24"/>
          <w:szCs w:val="24"/>
        </w:rPr>
        <w:t>Burmistrz Olecka</w:t>
      </w:r>
      <w:r w:rsidR="006E27C2">
        <w:rPr>
          <w:rFonts w:cs="Times New Roman"/>
          <w:b/>
          <w:sz w:val="24"/>
          <w:szCs w:val="24"/>
        </w:rPr>
        <w:t xml:space="preserve"> </w:t>
      </w:r>
      <w:r w:rsidR="00D203B3" w:rsidRPr="009978CF">
        <w:rPr>
          <w:rFonts w:cs="Times New Roman"/>
          <w:b/>
          <w:sz w:val="24"/>
          <w:szCs w:val="24"/>
        </w:rPr>
        <w:t>o</w:t>
      </w:r>
      <w:r w:rsidRPr="009978CF">
        <w:rPr>
          <w:rFonts w:cs="Times New Roman"/>
          <w:b/>
          <w:sz w:val="24"/>
          <w:szCs w:val="24"/>
        </w:rPr>
        <w:t>głasza przetarg</w:t>
      </w:r>
      <w:r w:rsidR="007E0EDA" w:rsidRPr="009978CF">
        <w:rPr>
          <w:rFonts w:cs="Times New Roman"/>
          <w:b/>
          <w:sz w:val="24"/>
          <w:szCs w:val="24"/>
        </w:rPr>
        <w:t xml:space="preserve"> pisemny </w:t>
      </w:r>
      <w:r w:rsidR="006F3134" w:rsidRPr="009978CF">
        <w:rPr>
          <w:rFonts w:cs="Times New Roman"/>
          <w:b/>
          <w:sz w:val="24"/>
          <w:szCs w:val="24"/>
        </w:rPr>
        <w:t>nie</w:t>
      </w:r>
      <w:r w:rsidR="007E0EDA" w:rsidRPr="009978CF">
        <w:rPr>
          <w:rFonts w:cs="Times New Roman"/>
          <w:b/>
          <w:sz w:val="24"/>
          <w:szCs w:val="24"/>
        </w:rPr>
        <w:t xml:space="preserve">ograniczony </w:t>
      </w:r>
      <w:r w:rsidR="00D203B3" w:rsidRPr="009978CF">
        <w:rPr>
          <w:rFonts w:cs="Times New Roman"/>
          <w:b/>
          <w:sz w:val="24"/>
          <w:szCs w:val="24"/>
        </w:rPr>
        <w:t xml:space="preserve">na dzierżawę </w:t>
      </w:r>
      <w:r w:rsidR="00B71F3B" w:rsidRPr="009978CF">
        <w:rPr>
          <w:rFonts w:cs="Times New Roman"/>
          <w:b/>
          <w:sz w:val="24"/>
          <w:szCs w:val="24"/>
        </w:rPr>
        <w:t>nieruchomości</w:t>
      </w:r>
      <w:r w:rsidR="001A10AD" w:rsidRPr="009978CF">
        <w:rPr>
          <w:rFonts w:cs="Times New Roman"/>
          <w:b/>
          <w:sz w:val="24"/>
          <w:szCs w:val="24"/>
        </w:rPr>
        <w:t xml:space="preserve"> </w:t>
      </w:r>
      <w:r w:rsidR="0086429A" w:rsidRPr="009978CF">
        <w:rPr>
          <w:rFonts w:cs="Times New Roman"/>
          <w:b/>
          <w:sz w:val="24"/>
          <w:szCs w:val="24"/>
        </w:rPr>
        <w:t xml:space="preserve">gruntowej </w:t>
      </w:r>
      <w:r w:rsidR="002159C7" w:rsidRPr="009978CF">
        <w:rPr>
          <w:rFonts w:cs="Times New Roman"/>
          <w:b/>
          <w:sz w:val="24"/>
          <w:szCs w:val="24"/>
        </w:rPr>
        <w:t xml:space="preserve">zabudowanej </w:t>
      </w:r>
      <w:r w:rsidR="00994818" w:rsidRPr="009978CF">
        <w:rPr>
          <w:rFonts w:cs="Times New Roman"/>
          <w:b/>
          <w:sz w:val="24"/>
          <w:szCs w:val="24"/>
        </w:rPr>
        <w:t>oznaczonej</w:t>
      </w:r>
      <w:r w:rsidR="0003410C" w:rsidRPr="009978CF">
        <w:rPr>
          <w:rFonts w:cs="Times New Roman"/>
          <w:b/>
          <w:sz w:val="24"/>
          <w:szCs w:val="24"/>
        </w:rPr>
        <w:t xml:space="preserve"> nr</w:t>
      </w:r>
      <w:r w:rsidR="00B71F3B" w:rsidRPr="009978CF">
        <w:rPr>
          <w:rFonts w:cs="Times New Roman"/>
          <w:b/>
          <w:sz w:val="24"/>
          <w:szCs w:val="24"/>
        </w:rPr>
        <w:t xml:space="preserve"> geod.</w:t>
      </w:r>
      <w:r w:rsidR="0004469D" w:rsidRPr="009978CF">
        <w:rPr>
          <w:rFonts w:cs="Times New Roman"/>
          <w:b/>
          <w:sz w:val="24"/>
          <w:szCs w:val="24"/>
        </w:rPr>
        <w:t xml:space="preserve"> </w:t>
      </w:r>
      <w:r w:rsidR="00994818" w:rsidRPr="009978CF">
        <w:rPr>
          <w:rFonts w:cs="Times New Roman"/>
          <w:b/>
          <w:sz w:val="24"/>
          <w:szCs w:val="24"/>
        </w:rPr>
        <w:t>430/2</w:t>
      </w:r>
      <w:r w:rsidR="0004469D" w:rsidRPr="009978CF">
        <w:rPr>
          <w:rFonts w:cs="Times New Roman"/>
          <w:b/>
          <w:sz w:val="24"/>
          <w:szCs w:val="24"/>
        </w:rPr>
        <w:t xml:space="preserve"> o powierzchni </w:t>
      </w:r>
      <w:r w:rsidR="00994818" w:rsidRPr="009978CF">
        <w:rPr>
          <w:rFonts w:cs="Times New Roman"/>
          <w:b/>
          <w:sz w:val="24"/>
          <w:szCs w:val="24"/>
        </w:rPr>
        <w:t>0,5119</w:t>
      </w:r>
      <w:r w:rsidR="0003410C" w:rsidRPr="009978CF">
        <w:rPr>
          <w:rFonts w:cs="Times New Roman"/>
          <w:b/>
          <w:sz w:val="24"/>
          <w:szCs w:val="24"/>
        </w:rPr>
        <w:t xml:space="preserve"> </w:t>
      </w:r>
      <w:r w:rsidR="00994818" w:rsidRPr="009978CF">
        <w:rPr>
          <w:rFonts w:cs="Times New Roman"/>
          <w:b/>
          <w:sz w:val="24"/>
          <w:szCs w:val="24"/>
        </w:rPr>
        <w:t>ha,</w:t>
      </w:r>
      <w:r w:rsidR="002159C7" w:rsidRPr="009978CF">
        <w:rPr>
          <w:rFonts w:cs="Times New Roman"/>
          <w:b/>
          <w:sz w:val="24"/>
          <w:szCs w:val="24"/>
        </w:rPr>
        <w:t xml:space="preserve"> położonej w Olecku przy ul. Zamkowej</w:t>
      </w:r>
      <w:r w:rsidR="00013D30" w:rsidRPr="009978CF">
        <w:rPr>
          <w:rFonts w:cs="Times New Roman"/>
          <w:b/>
          <w:sz w:val="24"/>
          <w:szCs w:val="24"/>
        </w:rPr>
        <w:t xml:space="preserve"> dla której Sąd Rejonowy w Olecku prowadzi księgę wieczystą </w:t>
      </w:r>
      <w:r w:rsidR="004300E6" w:rsidRPr="009978CF">
        <w:rPr>
          <w:rFonts w:cs="Times New Roman"/>
          <w:b/>
          <w:sz w:val="24"/>
          <w:szCs w:val="24"/>
        </w:rPr>
        <w:t>KW OL1C/</w:t>
      </w:r>
      <w:r w:rsidR="00994818" w:rsidRPr="009978CF">
        <w:rPr>
          <w:rFonts w:cs="Times New Roman"/>
          <w:b/>
          <w:sz w:val="24"/>
          <w:szCs w:val="24"/>
        </w:rPr>
        <w:t>00011180/6</w:t>
      </w:r>
      <w:r w:rsidR="008515ED" w:rsidRPr="009978CF">
        <w:rPr>
          <w:rFonts w:cs="Times New Roman"/>
          <w:b/>
          <w:sz w:val="24"/>
          <w:szCs w:val="24"/>
        </w:rPr>
        <w:t xml:space="preserve"> </w:t>
      </w:r>
      <w:r w:rsidR="00D203B3" w:rsidRPr="009978CF">
        <w:rPr>
          <w:rFonts w:cs="Times New Roman"/>
          <w:b/>
          <w:sz w:val="24"/>
          <w:szCs w:val="24"/>
        </w:rPr>
        <w:t>z przeznaczeniem na</w:t>
      </w:r>
      <w:r w:rsidR="003F3EB7" w:rsidRPr="009978CF">
        <w:rPr>
          <w:rFonts w:cs="Times New Roman"/>
          <w:b/>
          <w:sz w:val="24"/>
          <w:szCs w:val="24"/>
        </w:rPr>
        <w:t xml:space="preserve"> </w:t>
      </w:r>
      <w:r w:rsidR="00677B18" w:rsidRPr="009978CF">
        <w:rPr>
          <w:rFonts w:cs="Times New Roman"/>
          <w:b/>
          <w:sz w:val="24"/>
          <w:szCs w:val="24"/>
        </w:rPr>
        <w:t xml:space="preserve">prowadzenie usług gastronomicznych oraz miejsc noclegowych </w:t>
      </w:r>
      <w:r w:rsidR="00F66FDD" w:rsidRPr="009978CF">
        <w:rPr>
          <w:rFonts w:cs="Times New Roman"/>
          <w:b/>
          <w:sz w:val="24"/>
          <w:szCs w:val="24"/>
        </w:rPr>
        <w:t>z infrastrukturą towarzyszącą (</w:t>
      </w:r>
      <w:r w:rsidR="00677B18" w:rsidRPr="009978CF">
        <w:rPr>
          <w:rFonts w:cs="Times New Roman"/>
          <w:b/>
          <w:sz w:val="24"/>
          <w:szCs w:val="24"/>
        </w:rPr>
        <w:t>w tym adaptację istniejącego b</w:t>
      </w:r>
      <w:r w:rsidR="00F66FDD" w:rsidRPr="009978CF">
        <w:rPr>
          <w:rFonts w:cs="Times New Roman"/>
          <w:b/>
          <w:sz w:val="24"/>
          <w:szCs w:val="24"/>
        </w:rPr>
        <w:t>udynku)</w:t>
      </w:r>
      <w:r w:rsidR="00481705" w:rsidRPr="009978CF">
        <w:rPr>
          <w:rFonts w:cs="Times New Roman"/>
          <w:b/>
          <w:sz w:val="24"/>
          <w:szCs w:val="24"/>
        </w:rPr>
        <w:t xml:space="preserve">. </w:t>
      </w:r>
    </w:p>
    <w:p w:rsidR="007E0EDA" w:rsidRPr="009978CF" w:rsidRDefault="003A6734" w:rsidP="007C46AF">
      <w:pPr>
        <w:spacing w:after="0"/>
        <w:ind w:left="-142" w:right="-284"/>
        <w:rPr>
          <w:rFonts w:cs="Times New Roman"/>
          <w:b/>
          <w:sz w:val="24"/>
          <w:szCs w:val="24"/>
        </w:rPr>
      </w:pPr>
      <w:r w:rsidRPr="009978CF">
        <w:rPr>
          <w:rFonts w:cs="Times New Roman"/>
          <w:b/>
          <w:sz w:val="24"/>
          <w:szCs w:val="24"/>
        </w:rPr>
        <w:t>Okres</w:t>
      </w:r>
      <w:r w:rsidR="008B76BC" w:rsidRPr="009978CF">
        <w:rPr>
          <w:rFonts w:cs="Times New Roman"/>
          <w:b/>
          <w:sz w:val="24"/>
          <w:szCs w:val="24"/>
        </w:rPr>
        <w:t xml:space="preserve"> </w:t>
      </w:r>
      <w:r w:rsidR="005E27F8" w:rsidRPr="009978CF">
        <w:rPr>
          <w:rFonts w:cs="Times New Roman"/>
          <w:b/>
          <w:sz w:val="24"/>
          <w:szCs w:val="24"/>
        </w:rPr>
        <w:t>obowiązywania</w:t>
      </w:r>
      <w:r w:rsidR="008B76BC" w:rsidRPr="009978CF">
        <w:rPr>
          <w:rFonts w:cs="Times New Roman"/>
          <w:b/>
          <w:sz w:val="24"/>
          <w:szCs w:val="24"/>
        </w:rPr>
        <w:t xml:space="preserve"> umowy dzierżawy – 20 lat</w:t>
      </w:r>
      <w:r w:rsidR="005E27F8" w:rsidRPr="009978CF">
        <w:rPr>
          <w:rFonts w:cs="Times New Roman"/>
          <w:b/>
          <w:sz w:val="24"/>
          <w:szCs w:val="24"/>
        </w:rPr>
        <w:t xml:space="preserve"> od jej zawarcia</w:t>
      </w:r>
      <w:r w:rsidR="008B76BC" w:rsidRPr="009978CF">
        <w:rPr>
          <w:rFonts w:cs="Times New Roman"/>
          <w:b/>
          <w:sz w:val="24"/>
          <w:szCs w:val="24"/>
        </w:rPr>
        <w:t>.</w:t>
      </w:r>
    </w:p>
    <w:p w:rsidR="008B76BC" w:rsidRPr="009978CF" w:rsidRDefault="008B76BC" w:rsidP="007C46AF">
      <w:pPr>
        <w:spacing w:after="0"/>
        <w:ind w:left="-142" w:right="-284"/>
        <w:rPr>
          <w:rFonts w:cs="Times New Roman"/>
          <w:b/>
          <w:sz w:val="24"/>
          <w:szCs w:val="24"/>
        </w:rPr>
      </w:pPr>
      <w:r w:rsidRPr="009978CF">
        <w:rPr>
          <w:rFonts w:cs="Times New Roman"/>
          <w:b/>
          <w:sz w:val="24"/>
          <w:szCs w:val="24"/>
        </w:rPr>
        <w:t>Obszar gruntu przeznaczonego do dzierżawy określa załącznik graficzny.</w:t>
      </w:r>
    </w:p>
    <w:p w:rsidR="00330367" w:rsidRDefault="0050691A" w:rsidP="006E27C2">
      <w:pPr>
        <w:spacing w:after="0"/>
        <w:ind w:left="-142" w:right="-284"/>
        <w:rPr>
          <w:rFonts w:cs="Times New Roman"/>
          <w:b/>
          <w:sz w:val="24"/>
          <w:szCs w:val="24"/>
        </w:rPr>
      </w:pPr>
      <w:r w:rsidRPr="009978CF">
        <w:rPr>
          <w:rFonts w:cs="Times New Roman"/>
          <w:b/>
          <w:sz w:val="24"/>
          <w:szCs w:val="24"/>
          <w:u w:val="single"/>
        </w:rPr>
        <w:t>Cena wywoławcza czynszu</w:t>
      </w:r>
      <w:r w:rsidR="003F3EB7" w:rsidRPr="009978CF">
        <w:rPr>
          <w:rFonts w:cs="Times New Roman"/>
          <w:b/>
          <w:sz w:val="24"/>
          <w:szCs w:val="24"/>
          <w:u w:val="single"/>
        </w:rPr>
        <w:t xml:space="preserve"> netto</w:t>
      </w:r>
      <w:r w:rsidRPr="009978CF">
        <w:rPr>
          <w:rFonts w:cs="Times New Roman"/>
          <w:b/>
          <w:sz w:val="24"/>
          <w:szCs w:val="24"/>
          <w:u w:val="single"/>
        </w:rPr>
        <w:t xml:space="preserve"> za dzierżawę gruntu wynosi – </w:t>
      </w:r>
      <w:r w:rsidR="003F094A" w:rsidRPr="009978CF">
        <w:rPr>
          <w:rFonts w:cs="Times New Roman"/>
          <w:b/>
          <w:sz w:val="24"/>
          <w:szCs w:val="24"/>
          <w:u w:val="single"/>
        </w:rPr>
        <w:t>2 047,6</w:t>
      </w:r>
      <w:r w:rsidRPr="009978CF">
        <w:rPr>
          <w:rFonts w:cs="Times New Roman"/>
          <w:b/>
          <w:sz w:val="24"/>
          <w:szCs w:val="24"/>
          <w:u w:val="single"/>
        </w:rPr>
        <w:t>0 zł miesięcznie</w:t>
      </w:r>
      <w:r w:rsidR="00414C73" w:rsidRPr="009978CF">
        <w:rPr>
          <w:rFonts w:cs="Times New Roman"/>
          <w:b/>
          <w:sz w:val="24"/>
          <w:szCs w:val="24"/>
          <w:u w:val="single"/>
        </w:rPr>
        <w:t>. D</w:t>
      </w:r>
      <w:r w:rsidRPr="009978CF">
        <w:rPr>
          <w:rFonts w:cs="Times New Roman"/>
          <w:b/>
          <w:sz w:val="24"/>
          <w:szCs w:val="24"/>
          <w:u w:val="single"/>
        </w:rPr>
        <w:t>o</w:t>
      </w:r>
      <w:r w:rsidR="007E7E58" w:rsidRPr="009978CF">
        <w:rPr>
          <w:rFonts w:cs="Times New Roman"/>
          <w:b/>
          <w:sz w:val="24"/>
          <w:szCs w:val="24"/>
          <w:u w:val="single"/>
        </w:rPr>
        <w:t xml:space="preserve"> ustalonego </w:t>
      </w:r>
      <w:r w:rsidR="006E27C2">
        <w:rPr>
          <w:rFonts w:cs="Times New Roman"/>
          <w:b/>
          <w:sz w:val="24"/>
          <w:szCs w:val="24"/>
          <w:u w:val="single"/>
        </w:rPr>
        <w:br/>
      </w:r>
      <w:r w:rsidR="007E7E58" w:rsidRPr="009978CF">
        <w:rPr>
          <w:rFonts w:cs="Times New Roman"/>
          <w:b/>
          <w:sz w:val="24"/>
          <w:szCs w:val="24"/>
          <w:u w:val="single"/>
        </w:rPr>
        <w:t xml:space="preserve">w przetargu czynszu netto </w:t>
      </w:r>
      <w:r w:rsidRPr="009978CF">
        <w:rPr>
          <w:rFonts w:cs="Times New Roman"/>
          <w:b/>
          <w:sz w:val="24"/>
          <w:szCs w:val="24"/>
          <w:u w:val="single"/>
        </w:rPr>
        <w:t>zostanie doliczony 23% podatek VAT</w:t>
      </w:r>
      <w:r w:rsidR="007E7E58" w:rsidRPr="009978CF">
        <w:rPr>
          <w:rFonts w:cs="Times New Roman"/>
          <w:b/>
          <w:sz w:val="24"/>
          <w:szCs w:val="24"/>
          <w:u w:val="single"/>
        </w:rPr>
        <w:t>.</w:t>
      </w:r>
      <w:r w:rsidR="003F094A" w:rsidRPr="009978CF">
        <w:rPr>
          <w:rFonts w:cs="Times New Roman"/>
          <w:b/>
          <w:sz w:val="24"/>
          <w:szCs w:val="24"/>
          <w:u w:val="single"/>
        </w:rPr>
        <w:t xml:space="preserve"> </w:t>
      </w:r>
      <w:r w:rsidR="003A6734" w:rsidRPr="009978CF">
        <w:rPr>
          <w:rFonts w:cs="Times New Roman"/>
          <w:b/>
          <w:sz w:val="24"/>
          <w:szCs w:val="24"/>
          <w:u w:val="single"/>
        </w:rPr>
        <w:br/>
      </w:r>
      <w:r w:rsidRPr="009978CF">
        <w:rPr>
          <w:rFonts w:cs="Times New Roman"/>
          <w:b/>
          <w:sz w:val="24"/>
          <w:szCs w:val="24"/>
        </w:rPr>
        <w:t>Wadium</w:t>
      </w:r>
      <w:r w:rsidR="004A7C54" w:rsidRPr="009978CF">
        <w:rPr>
          <w:rFonts w:cs="Times New Roman"/>
          <w:b/>
          <w:sz w:val="24"/>
          <w:szCs w:val="24"/>
        </w:rPr>
        <w:t xml:space="preserve"> </w:t>
      </w:r>
      <w:r w:rsidR="0086429A" w:rsidRPr="009978CF">
        <w:rPr>
          <w:rFonts w:cs="Times New Roman"/>
          <w:b/>
          <w:sz w:val="24"/>
          <w:szCs w:val="24"/>
        </w:rPr>
        <w:t>- 6</w:t>
      </w:r>
      <w:r w:rsidR="00801447" w:rsidRPr="009978CF">
        <w:rPr>
          <w:rFonts w:cs="Times New Roman"/>
          <w:b/>
          <w:sz w:val="24"/>
          <w:szCs w:val="24"/>
        </w:rPr>
        <w:t xml:space="preserve"> 00</w:t>
      </w:r>
      <w:r w:rsidR="00E96042" w:rsidRPr="009978CF">
        <w:rPr>
          <w:rFonts w:cs="Times New Roman"/>
          <w:b/>
          <w:sz w:val="24"/>
          <w:szCs w:val="24"/>
        </w:rPr>
        <w:t>0,00 zł</w:t>
      </w:r>
    </w:p>
    <w:p w:rsidR="006E27C2" w:rsidRDefault="006E27C2" w:rsidP="006E27C2">
      <w:pPr>
        <w:spacing w:after="0"/>
        <w:ind w:left="-142" w:right="-284"/>
        <w:rPr>
          <w:rFonts w:cs="Times New Roman"/>
          <w:b/>
          <w:sz w:val="24"/>
          <w:szCs w:val="24"/>
        </w:rPr>
      </w:pPr>
    </w:p>
    <w:p w:rsidR="006E27C2" w:rsidRPr="009978CF" w:rsidRDefault="006E27C2" w:rsidP="006E27C2">
      <w:pPr>
        <w:spacing w:after="0"/>
        <w:ind w:left="-142" w:right="-284"/>
        <w:rPr>
          <w:rFonts w:cs="Times New Roman"/>
          <w:b/>
          <w:sz w:val="24"/>
          <w:szCs w:val="24"/>
        </w:rPr>
      </w:pPr>
    </w:p>
    <w:p w:rsidR="00E96042" w:rsidRPr="009978CF" w:rsidRDefault="002159C7" w:rsidP="0072749B">
      <w:pPr>
        <w:spacing w:after="0"/>
        <w:ind w:left="-142" w:right="-1"/>
        <w:rPr>
          <w:rFonts w:cs="Times New Roman"/>
          <w:sz w:val="24"/>
          <w:szCs w:val="24"/>
        </w:rPr>
      </w:pPr>
      <w:r w:rsidRPr="009978CF">
        <w:rPr>
          <w:rFonts w:cs="Times New Roman"/>
          <w:i/>
          <w:sz w:val="24"/>
          <w:szCs w:val="24"/>
        </w:rPr>
        <w:t xml:space="preserve">Opis nieruchomości </w:t>
      </w:r>
      <w:r w:rsidR="00C7411B" w:rsidRPr="009978CF">
        <w:rPr>
          <w:rFonts w:cs="Times New Roman"/>
          <w:i/>
          <w:sz w:val="24"/>
          <w:szCs w:val="24"/>
        </w:rPr>
        <w:t>–</w:t>
      </w:r>
      <w:r w:rsidRPr="009978CF">
        <w:rPr>
          <w:rFonts w:cs="Times New Roman"/>
          <w:i/>
          <w:sz w:val="24"/>
          <w:szCs w:val="24"/>
        </w:rPr>
        <w:t xml:space="preserve"> </w:t>
      </w:r>
      <w:r w:rsidR="00C7411B" w:rsidRPr="009978CF">
        <w:rPr>
          <w:rFonts w:cs="Times New Roman"/>
          <w:sz w:val="24"/>
          <w:szCs w:val="24"/>
        </w:rPr>
        <w:t xml:space="preserve">Nieruchomość gruntowa zabudowana </w:t>
      </w:r>
      <w:r w:rsidR="00C7411B" w:rsidRPr="009978CF">
        <w:rPr>
          <w:rFonts w:cs="Times New Roman"/>
          <w:b/>
          <w:sz w:val="24"/>
          <w:szCs w:val="24"/>
        </w:rPr>
        <w:t>budynkiem użytkowym</w:t>
      </w:r>
      <w:r w:rsidR="0072749B" w:rsidRPr="009978CF">
        <w:rPr>
          <w:rFonts w:cs="Times New Roman"/>
          <w:b/>
          <w:sz w:val="24"/>
          <w:szCs w:val="24"/>
        </w:rPr>
        <w:t xml:space="preserve"> </w:t>
      </w:r>
      <w:r w:rsidR="00C7411B" w:rsidRPr="009978CF">
        <w:rPr>
          <w:rFonts w:cs="Times New Roman"/>
          <w:sz w:val="24"/>
          <w:szCs w:val="24"/>
        </w:rPr>
        <w:t>o pow. użytkowej</w:t>
      </w:r>
      <w:r w:rsidR="00C7411B" w:rsidRPr="009978CF">
        <w:rPr>
          <w:rFonts w:cs="Times New Roman"/>
          <w:b/>
          <w:sz w:val="24"/>
          <w:szCs w:val="24"/>
        </w:rPr>
        <w:t xml:space="preserve"> 209,15 m²</w:t>
      </w:r>
      <w:r w:rsidR="00C7411B" w:rsidRPr="009978CF">
        <w:rPr>
          <w:rFonts w:cs="Times New Roman"/>
          <w:sz w:val="24"/>
          <w:szCs w:val="24"/>
        </w:rPr>
        <w:t>,</w:t>
      </w:r>
      <w:r w:rsidR="00C7411B" w:rsidRPr="009978CF">
        <w:rPr>
          <w:rFonts w:cs="Times New Roman"/>
          <w:b/>
          <w:sz w:val="24"/>
          <w:szCs w:val="24"/>
        </w:rPr>
        <w:t xml:space="preserve"> budynkiem sanitariatu</w:t>
      </w:r>
      <w:r w:rsidR="00C7411B" w:rsidRPr="009978CF">
        <w:rPr>
          <w:rFonts w:cs="Times New Roman"/>
          <w:sz w:val="24"/>
          <w:szCs w:val="24"/>
        </w:rPr>
        <w:t xml:space="preserve"> o</w:t>
      </w:r>
      <w:r w:rsidR="007E7E58" w:rsidRPr="009978CF">
        <w:rPr>
          <w:rFonts w:cs="Times New Roman"/>
          <w:sz w:val="24"/>
          <w:szCs w:val="24"/>
        </w:rPr>
        <w:t xml:space="preserve"> </w:t>
      </w:r>
      <w:r w:rsidR="00C7411B" w:rsidRPr="009978CF">
        <w:rPr>
          <w:rFonts w:cs="Times New Roman"/>
          <w:sz w:val="24"/>
          <w:szCs w:val="24"/>
        </w:rPr>
        <w:t xml:space="preserve">pow. użytkowej </w:t>
      </w:r>
      <w:r w:rsidR="00C7411B" w:rsidRPr="009978CF">
        <w:rPr>
          <w:rFonts w:cs="Times New Roman"/>
          <w:b/>
          <w:sz w:val="24"/>
          <w:szCs w:val="24"/>
        </w:rPr>
        <w:t>31,09 m²</w:t>
      </w:r>
      <w:r w:rsidR="00C7411B" w:rsidRPr="009978CF">
        <w:rPr>
          <w:rFonts w:cs="Times New Roman"/>
          <w:sz w:val="24"/>
          <w:szCs w:val="24"/>
        </w:rPr>
        <w:t xml:space="preserve">, </w:t>
      </w:r>
      <w:r w:rsidR="00C7411B" w:rsidRPr="009978CF">
        <w:rPr>
          <w:rFonts w:cs="Times New Roman"/>
          <w:b/>
          <w:sz w:val="24"/>
          <w:szCs w:val="24"/>
        </w:rPr>
        <w:t>budowlą osłony śmietnika</w:t>
      </w:r>
      <w:r w:rsidR="00C7411B" w:rsidRPr="009978CF">
        <w:rPr>
          <w:rFonts w:cs="Times New Roman"/>
          <w:sz w:val="24"/>
          <w:szCs w:val="24"/>
        </w:rPr>
        <w:t xml:space="preserve"> o pow. zabudowy </w:t>
      </w:r>
      <w:r w:rsidR="00C7411B" w:rsidRPr="009978CF">
        <w:rPr>
          <w:rFonts w:cs="Times New Roman"/>
          <w:b/>
          <w:sz w:val="24"/>
          <w:szCs w:val="24"/>
        </w:rPr>
        <w:t>21,50 m²</w:t>
      </w:r>
      <w:r w:rsidR="00C7411B" w:rsidRPr="009978CF">
        <w:rPr>
          <w:rFonts w:cs="Times New Roman"/>
          <w:sz w:val="24"/>
          <w:szCs w:val="24"/>
        </w:rPr>
        <w:t xml:space="preserve"> oraz </w:t>
      </w:r>
      <w:r w:rsidR="00C7411B" w:rsidRPr="009978CF">
        <w:rPr>
          <w:rFonts w:cs="Times New Roman"/>
          <w:b/>
          <w:sz w:val="24"/>
          <w:szCs w:val="24"/>
        </w:rPr>
        <w:t>budowlą ogrodzenia</w:t>
      </w:r>
      <w:r w:rsidR="00C7411B" w:rsidRPr="009978CF">
        <w:rPr>
          <w:rFonts w:cs="Times New Roman"/>
          <w:sz w:val="24"/>
          <w:szCs w:val="24"/>
        </w:rPr>
        <w:t xml:space="preserve"> o długości </w:t>
      </w:r>
      <w:r w:rsidR="00C7411B" w:rsidRPr="009978CF">
        <w:rPr>
          <w:rFonts w:cs="Times New Roman"/>
          <w:b/>
          <w:sz w:val="24"/>
          <w:szCs w:val="24"/>
        </w:rPr>
        <w:t>170,0</w:t>
      </w:r>
      <w:r w:rsidR="000942F2" w:rsidRPr="009978CF">
        <w:rPr>
          <w:rFonts w:cs="Times New Roman"/>
          <w:b/>
          <w:sz w:val="24"/>
          <w:szCs w:val="24"/>
        </w:rPr>
        <w:t>0</w:t>
      </w:r>
      <w:r w:rsidR="00C7411B" w:rsidRPr="009978CF">
        <w:rPr>
          <w:rFonts w:cs="Times New Roman"/>
          <w:b/>
          <w:sz w:val="24"/>
          <w:szCs w:val="24"/>
        </w:rPr>
        <w:t xml:space="preserve"> m</w:t>
      </w:r>
      <w:r w:rsidR="0072749B" w:rsidRPr="009978CF">
        <w:rPr>
          <w:rFonts w:cs="Times New Roman"/>
          <w:sz w:val="24"/>
          <w:szCs w:val="24"/>
        </w:rPr>
        <w:t xml:space="preserve"> </w:t>
      </w:r>
      <w:r w:rsidR="00414C73" w:rsidRPr="009978CF">
        <w:rPr>
          <w:rFonts w:cs="Times New Roman"/>
          <w:b/>
          <w:sz w:val="24"/>
          <w:szCs w:val="24"/>
        </w:rPr>
        <w:t>do generalnego remontu na koszt dzierżawcy</w:t>
      </w:r>
      <w:r w:rsidR="00414C73" w:rsidRPr="009978CF">
        <w:rPr>
          <w:rFonts w:cs="Times New Roman"/>
          <w:sz w:val="24"/>
          <w:szCs w:val="24"/>
        </w:rPr>
        <w:t xml:space="preserve"> </w:t>
      </w:r>
      <w:r w:rsidR="0072749B" w:rsidRPr="009978CF">
        <w:rPr>
          <w:rFonts w:cs="Times New Roman"/>
          <w:sz w:val="24"/>
          <w:szCs w:val="24"/>
        </w:rPr>
        <w:t>(do wglądu protokoły z przeglądu technicznego budynku</w:t>
      </w:r>
      <w:r w:rsidR="007E7E58" w:rsidRPr="009978CF">
        <w:rPr>
          <w:rFonts w:cs="Times New Roman"/>
          <w:sz w:val="24"/>
          <w:szCs w:val="24"/>
        </w:rPr>
        <w:t xml:space="preserve"> </w:t>
      </w:r>
      <w:r w:rsidR="00054FEF" w:rsidRPr="009978CF">
        <w:rPr>
          <w:rFonts w:cs="Times New Roman"/>
          <w:sz w:val="24"/>
          <w:szCs w:val="24"/>
        </w:rPr>
        <w:t xml:space="preserve">oraz inwentaryzacja budynku </w:t>
      </w:r>
      <w:r w:rsidR="00054FEF" w:rsidRPr="009978CF">
        <w:rPr>
          <w:rFonts w:cs="Times New Roman"/>
          <w:sz w:val="24"/>
          <w:szCs w:val="24"/>
        </w:rPr>
        <w:br/>
      </w:r>
      <w:r w:rsidR="007E7E58" w:rsidRPr="009978CF">
        <w:rPr>
          <w:rFonts w:cs="Times New Roman"/>
          <w:sz w:val="24"/>
          <w:szCs w:val="24"/>
        </w:rPr>
        <w:t>po uprzednim uzgodnieniu z Wydziałem Planowania Przestrzennego i Gospodarki Nieruchomościami Urzędu Miejskiego w Olecku</w:t>
      </w:r>
      <w:r w:rsidR="0072749B" w:rsidRPr="009978CF">
        <w:rPr>
          <w:rFonts w:cs="Times New Roman"/>
          <w:sz w:val="24"/>
          <w:szCs w:val="24"/>
        </w:rPr>
        <w:t>).</w:t>
      </w:r>
    </w:p>
    <w:p w:rsidR="000941B7" w:rsidRPr="009978CF" w:rsidRDefault="000941B7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eastAsia="Times New Roman" w:cs="Times New Roman"/>
          <w:i/>
          <w:sz w:val="24"/>
          <w:szCs w:val="24"/>
        </w:rPr>
        <w:t>Objęcie miejscowym planem zagospodarowania przestrzennego</w:t>
      </w:r>
      <w:r w:rsidRPr="009978CF">
        <w:rPr>
          <w:rFonts w:eastAsia="Times New Roman" w:cs="Times New Roman"/>
          <w:sz w:val="24"/>
          <w:szCs w:val="24"/>
        </w:rPr>
        <w:t xml:space="preserve"> - n</w:t>
      </w:r>
      <w:r w:rsidR="00E96042" w:rsidRPr="009978CF">
        <w:rPr>
          <w:rFonts w:eastAsia="Times New Roman" w:cs="Times New Roman"/>
          <w:sz w:val="24"/>
          <w:szCs w:val="24"/>
        </w:rPr>
        <w:t xml:space="preserve">ieruchomość oznaczona numerem geodezyjnym 430/2 objęta jest miejscowym planem </w:t>
      </w:r>
      <w:r w:rsidR="00E96042" w:rsidRPr="009978CF">
        <w:rPr>
          <w:rFonts w:eastAsia="Times New Roman" w:cs="Times New Roman"/>
          <w:sz w:val="24"/>
          <w:szCs w:val="24"/>
          <w:lang w:eastAsia="pl-PL"/>
        </w:rPr>
        <w:t>zagospodarowania przestrzennego wyznaczonych części miasta Olecka obejmujących tereny położone w sąsiedztwie torów kolejowych pomiędzy drogami wyjazdowymi do Świętajna i Giżycka, tereny przyległe do drogi wyjazdowej w kierunku Ełku, teren przy ul. Wojska Polskiego, teren między ulicami Kasprowicza, Rzeźnicką, Kościuszki i targowicą, teren przy skrzyżowaniu ulic Al. Zwycięstwa i Kościuszki, tereny przyległe do ulic Wiejskiej i Leśnej, teren położony w sąsiedztwie osiedla mieszkaniowego Lesk oraz tereny w sąsiedztwie jeziora Oleckie Wielkie – Uchwała Nr XLVII/379/06 z dnia 31 sierpnia 2006 r. (Dz. Urz. Woj. Warmińsko - Mazurskiego nr</w:t>
      </w:r>
      <w:r w:rsidR="00E96042" w:rsidRPr="009978CF">
        <w:rPr>
          <w:rFonts w:eastAsia="Times New Roman" w:cs="Times New Roman"/>
          <w:sz w:val="24"/>
          <w:szCs w:val="24"/>
        </w:rPr>
        <w:t xml:space="preserve"> 169 z 2006, poz. 2419)</w:t>
      </w:r>
      <w:r w:rsidR="003620B9" w:rsidRPr="009978CF">
        <w:rPr>
          <w:rFonts w:eastAsia="Times New Roman" w:cs="Times New Roman"/>
          <w:sz w:val="24"/>
          <w:szCs w:val="24"/>
        </w:rPr>
        <w:t xml:space="preserve">. </w:t>
      </w:r>
    </w:p>
    <w:p w:rsidR="006473FC" w:rsidRPr="009978CF" w:rsidRDefault="003620B9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eastAsia="Times New Roman" w:cs="Times New Roman"/>
          <w:sz w:val="24"/>
          <w:szCs w:val="24"/>
        </w:rPr>
        <w:t xml:space="preserve">Zgodnie z </w:t>
      </w:r>
      <w:proofErr w:type="spellStart"/>
      <w:r w:rsidRPr="009978CF">
        <w:rPr>
          <w:rFonts w:eastAsia="Times New Roman" w:cs="Times New Roman"/>
          <w:sz w:val="24"/>
          <w:szCs w:val="24"/>
        </w:rPr>
        <w:t>mpzp</w:t>
      </w:r>
      <w:proofErr w:type="spellEnd"/>
      <w:r w:rsidRPr="009978CF">
        <w:rPr>
          <w:rFonts w:eastAsia="Times New Roman" w:cs="Times New Roman"/>
          <w:sz w:val="24"/>
          <w:szCs w:val="24"/>
        </w:rPr>
        <w:t xml:space="preserve"> </w:t>
      </w:r>
      <w:r w:rsidR="00C7411B" w:rsidRPr="009978CF">
        <w:rPr>
          <w:rFonts w:eastAsia="Times New Roman" w:cs="Times New Roman"/>
          <w:sz w:val="24"/>
          <w:szCs w:val="24"/>
        </w:rPr>
        <w:t xml:space="preserve">obszar oznaczony jest </w:t>
      </w:r>
      <w:r w:rsidRPr="009978CF">
        <w:rPr>
          <w:rFonts w:eastAsia="Times New Roman" w:cs="Times New Roman"/>
          <w:sz w:val="24"/>
          <w:szCs w:val="24"/>
        </w:rPr>
        <w:t xml:space="preserve">symbolem </w:t>
      </w:r>
      <w:r w:rsidR="00E96042" w:rsidRPr="009978CF">
        <w:rPr>
          <w:rFonts w:eastAsia="Times New Roman" w:cs="Times New Roman"/>
          <w:sz w:val="24"/>
          <w:szCs w:val="24"/>
        </w:rPr>
        <w:t xml:space="preserve"> </w:t>
      </w:r>
      <w:r w:rsidR="000941B7" w:rsidRPr="009978CF">
        <w:rPr>
          <w:rFonts w:eastAsia="Times New Roman" w:cs="Times New Roman"/>
          <w:sz w:val="24"/>
          <w:szCs w:val="24"/>
        </w:rPr>
        <w:t>1UT –</w:t>
      </w:r>
      <w:r w:rsidR="000942F2" w:rsidRPr="009978CF">
        <w:rPr>
          <w:rFonts w:eastAsia="Times New Roman" w:cs="Times New Roman"/>
          <w:sz w:val="24"/>
          <w:szCs w:val="24"/>
        </w:rPr>
        <w:t xml:space="preserve"> „teren usług turystycznych”</w:t>
      </w:r>
      <w:r w:rsidR="000941B7" w:rsidRPr="009978CF">
        <w:rPr>
          <w:rFonts w:eastAsia="Times New Roman" w:cs="Times New Roman"/>
          <w:sz w:val="24"/>
          <w:szCs w:val="24"/>
        </w:rPr>
        <w:t xml:space="preserve"> </w:t>
      </w:r>
      <w:r w:rsidR="00C7411B" w:rsidRPr="009978CF">
        <w:rPr>
          <w:rFonts w:eastAsia="Times New Roman" w:cs="Times New Roman"/>
          <w:sz w:val="24"/>
          <w:szCs w:val="24"/>
        </w:rPr>
        <w:t xml:space="preserve">jako </w:t>
      </w:r>
      <w:r w:rsidR="000941B7" w:rsidRPr="009978CF">
        <w:rPr>
          <w:rFonts w:eastAsia="Times New Roman" w:cs="Times New Roman"/>
          <w:sz w:val="24"/>
          <w:szCs w:val="24"/>
        </w:rPr>
        <w:t xml:space="preserve">teren </w:t>
      </w:r>
      <w:r w:rsidR="00C7411B" w:rsidRPr="009978CF">
        <w:rPr>
          <w:rFonts w:eastAsia="Times New Roman" w:cs="Times New Roman"/>
          <w:sz w:val="24"/>
          <w:szCs w:val="24"/>
        </w:rPr>
        <w:t xml:space="preserve">częściowo zabudowany z </w:t>
      </w:r>
      <w:r w:rsidR="000941B7" w:rsidRPr="009978CF">
        <w:rPr>
          <w:rFonts w:eastAsia="Times New Roman" w:cs="Times New Roman"/>
          <w:sz w:val="24"/>
          <w:szCs w:val="24"/>
        </w:rPr>
        <w:t>usług</w:t>
      </w:r>
      <w:r w:rsidR="00C7411B" w:rsidRPr="009978CF">
        <w:rPr>
          <w:rFonts w:eastAsia="Times New Roman" w:cs="Times New Roman"/>
          <w:sz w:val="24"/>
          <w:szCs w:val="24"/>
        </w:rPr>
        <w:t>ami</w:t>
      </w:r>
      <w:r w:rsidR="000941B7" w:rsidRPr="009978CF">
        <w:rPr>
          <w:rFonts w:eastAsia="Times New Roman" w:cs="Times New Roman"/>
          <w:sz w:val="24"/>
          <w:szCs w:val="24"/>
        </w:rPr>
        <w:t xml:space="preserve"> </w:t>
      </w:r>
      <w:r w:rsidR="00C7411B" w:rsidRPr="009978CF">
        <w:rPr>
          <w:rFonts w:eastAsia="Times New Roman" w:cs="Times New Roman"/>
          <w:sz w:val="24"/>
          <w:szCs w:val="24"/>
        </w:rPr>
        <w:t>turystycznymi, przeznaczony na kontynuację i utrzymanie funkcji turystycznej. W ramach podstawowego przeznaczenia w granicach działki planuje się realizację hotelu lub całorocznego ośrodka wypoczynkowego z funkcją noclegowo-gastronomiczną. W zakresie przeznaczenia uzupełniającego adaptuje się istniejący bud</w:t>
      </w:r>
      <w:r w:rsidR="006473FC" w:rsidRPr="009978CF">
        <w:rPr>
          <w:rFonts w:eastAsia="Times New Roman" w:cs="Times New Roman"/>
          <w:sz w:val="24"/>
          <w:szCs w:val="24"/>
        </w:rPr>
        <w:t>ynek ze zmianami funkcjonalnymi, który winien stanowić wzbogacenie funkcji podstawowej terenu. MPZP nie przywiduje podziału terenu, wprowadza zakaz ogrodzenia od strony jeziora. Zieleń towarzysząca winna zajmować minimum 60% powierzchni biologicznie czynnej.</w:t>
      </w:r>
    </w:p>
    <w:p w:rsidR="006473FC" w:rsidRPr="009978CF" w:rsidRDefault="006473FC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eastAsia="Times New Roman" w:cs="Times New Roman"/>
          <w:sz w:val="24"/>
          <w:szCs w:val="24"/>
        </w:rPr>
        <w:t xml:space="preserve">Ogrodzenie wzdłuż południowej granicy nieruchomości znajduje się poza obszarem stanowiącym przedmiot </w:t>
      </w:r>
      <w:r w:rsidR="0072749B" w:rsidRPr="009978CF">
        <w:rPr>
          <w:rFonts w:eastAsia="Times New Roman" w:cs="Times New Roman"/>
          <w:sz w:val="24"/>
          <w:szCs w:val="24"/>
        </w:rPr>
        <w:t>dzierżawy</w:t>
      </w:r>
      <w:r w:rsidRPr="009978CF">
        <w:rPr>
          <w:rFonts w:eastAsia="Times New Roman" w:cs="Times New Roman"/>
          <w:sz w:val="24"/>
          <w:szCs w:val="24"/>
        </w:rPr>
        <w:t>, do przesunięcia na granicę nieruchomości staraniem</w:t>
      </w:r>
      <w:r w:rsidR="00CD3B9D" w:rsidRPr="009978CF">
        <w:rPr>
          <w:rFonts w:eastAsia="Times New Roman" w:cs="Times New Roman"/>
          <w:sz w:val="24"/>
          <w:szCs w:val="24"/>
        </w:rPr>
        <w:t xml:space="preserve"> i na koszt </w:t>
      </w:r>
      <w:r w:rsidRPr="009978CF">
        <w:rPr>
          <w:rFonts w:eastAsia="Times New Roman" w:cs="Times New Roman"/>
          <w:sz w:val="24"/>
          <w:szCs w:val="24"/>
        </w:rPr>
        <w:t xml:space="preserve"> dzierżawcy.</w:t>
      </w:r>
    </w:p>
    <w:p w:rsidR="006473FC" w:rsidRPr="009978CF" w:rsidRDefault="006473FC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eastAsia="Times New Roman" w:cs="Times New Roman"/>
          <w:sz w:val="24"/>
          <w:szCs w:val="24"/>
        </w:rPr>
        <w:t xml:space="preserve">Działka obciążona jest umową udostępnienia nieruchomości celem trwałego umieszczenia urządzeń infrastruktury technicznej w gruncie oraz późniejszej eksploatacji, konserwacji, modernizacji oraz ewentualnej naprawy- kanalizacja deszczowa o pow. 4,72 m²(rura kanalizacji </w:t>
      </w:r>
      <w:r w:rsidR="00C37971" w:rsidRPr="009978CF">
        <w:rPr>
          <w:rFonts w:eastAsia="Times New Roman" w:cs="Times New Roman"/>
          <w:sz w:val="24"/>
          <w:szCs w:val="24"/>
        </w:rPr>
        <w:t>deszczowej i studzienka kanalizacyjna). Umowa obowiązuje na czas pozostawienia urządzeń w gruncie i wiąże następców prawnych stron umowy.</w:t>
      </w:r>
    </w:p>
    <w:p w:rsidR="000941B7" w:rsidRPr="009978CF" w:rsidRDefault="000941B7" w:rsidP="007C46AF">
      <w:pPr>
        <w:pStyle w:val="Akapitzlist"/>
        <w:spacing w:after="0" w:line="240" w:lineRule="auto"/>
        <w:ind w:left="218"/>
        <w:rPr>
          <w:rFonts w:eastAsia="Times New Roman" w:cs="Times New Roman"/>
          <w:i/>
          <w:sz w:val="24"/>
          <w:szCs w:val="24"/>
        </w:rPr>
      </w:pPr>
    </w:p>
    <w:p w:rsidR="00C37971" w:rsidRPr="009978CF" w:rsidRDefault="000941B7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eastAsia="Times New Roman" w:cs="Times New Roman"/>
          <w:i/>
          <w:sz w:val="24"/>
          <w:szCs w:val="24"/>
        </w:rPr>
        <w:lastRenderedPageBreak/>
        <w:t xml:space="preserve">Lokalizacja – </w:t>
      </w:r>
      <w:r w:rsidR="00C37971" w:rsidRPr="009978CF">
        <w:rPr>
          <w:rFonts w:cs="Times New Roman"/>
          <w:sz w:val="24"/>
          <w:szCs w:val="24"/>
        </w:rPr>
        <w:t>Nieruchomość położona jest w</w:t>
      </w:r>
      <w:r w:rsidR="00330367" w:rsidRPr="009978CF">
        <w:rPr>
          <w:rFonts w:cs="Times New Roman"/>
          <w:sz w:val="24"/>
          <w:szCs w:val="24"/>
        </w:rPr>
        <w:t xml:space="preserve"> Olecku przy ul. Zamkowej w </w:t>
      </w:r>
      <w:r w:rsidR="00C37971" w:rsidRPr="009978CF">
        <w:rPr>
          <w:rFonts w:cs="Times New Roman"/>
          <w:sz w:val="24"/>
          <w:szCs w:val="24"/>
        </w:rPr>
        <w:t xml:space="preserve"> sąsiedztwie jeziora Oleckie W</w:t>
      </w:r>
      <w:r w:rsidR="00330367" w:rsidRPr="009978CF">
        <w:rPr>
          <w:rFonts w:cs="Times New Roman"/>
          <w:sz w:val="24"/>
          <w:szCs w:val="24"/>
        </w:rPr>
        <w:t xml:space="preserve">ielkie, obiektów Powiatowej Komendy Policji i zabudowy mieszkaniowej wielorodzinnej. </w:t>
      </w:r>
      <w:r w:rsidR="00C37971" w:rsidRPr="009978CF">
        <w:rPr>
          <w:rFonts w:cs="Times New Roman"/>
          <w:sz w:val="24"/>
          <w:szCs w:val="24"/>
        </w:rPr>
        <w:t>Od linii brzegowej nieruchomość oddziela biegnąca wokół jeziora trasa pieszo-rowerowa „Wiewiórcza ścieżka”. Nieruchomość usytuowana jest na obszarze historycznego układu urbanistycznego miasta Olecko.</w:t>
      </w:r>
    </w:p>
    <w:p w:rsidR="00702696" w:rsidRPr="009978CF" w:rsidRDefault="00702696" w:rsidP="007C46A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02696" w:rsidRPr="009978CF" w:rsidRDefault="00702696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eastAsia="Times New Roman" w:cs="Times New Roman"/>
          <w:i/>
          <w:sz w:val="24"/>
          <w:szCs w:val="24"/>
        </w:rPr>
        <w:t>Dojazd do nieruchomości</w:t>
      </w:r>
      <w:r w:rsidRPr="009978CF">
        <w:rPr>
          <w:rFonts w:eastAsia="Times New Roman" w:cs="Times New Roman"/>
          <w:sz w:val="24"/>
          <w:szCs w:val="24"/>
        </w:rPr>
        <w:t xml:space="preserve"> </w:t>
      </w:r>
      <w:r w:rsidR="000941B7" w:rsidRPr="009978CF">
        <w:rPr>
          <w:rFonts w:eastAsia="Times New Roman" w:cs="Times New Roman"/>
          <w:sz w:val="24"/>
          <w:szCs w:val="24"/>
        </w:rPr>
        <w:t xml:space="preserve">– dojazd </w:t>
      </w:r>
      <w:r w:rsidR="003827D6" w:rsidRPr="009978CF">
        <w:rPr>
          <w:rFonts w:eastAsia="Times New Roman" w:cs="Times New Roman"/>
          <w:sz w:val="24"/>
          <w:szCs w:val="24"/>
        </w:rPr>
        <w:t>z</w:t>
      </w:r>
      <w:r w:rsidR="007E7E58" w:rsidRPr="009978CF">
        <w:rPr>
          <w:rFonts w:eastAsia="Times New Roman" w:cs="Times New Roman"/>
          <w:sz w:val="24"/>
          <w:szCs w:val="24"/>
        </w:rPr>
        <w:t xml:space="preserve"> ulicy Zamkowej, ogólnodostępną drogą wewnętrzną,</w:t>
      </w:r>
      <w:r w:rsidR="000941B7" w:rsidRPr="009978CF">
        <w:rPr>
          <w:rFonts w:eastAsia="Times New Roman" w:cs="Times New Roman"/>
          <w:sz w:val="24"/>
          <w:szCs w:val="24"/>
        </w:rPr>
        <w:t xml:space="preserve"> </w:t>
      </w:r>
      <w:r w:rsidR="007E7E58" w:rsidRPr="009978CF">
        <w:rPr>
          <w:rFonts w:eastAsia="Times New Roman" w:cs="Times New Roman"/>
          <w:sz w:val="24"/>
          <w:szCs w:val="24"/>
        </w:rPr>
        <w:t>oznaczoną numerem geodezyjnym  433</w:t>
      </w:r>
      <w:r w:rsidR="003827D6" w:rsidRPr="009978CF">
        <w:rPr>
          <w:rFonts w:eastAsia="Times New Roman" w:cs="Times New Roman"/>
          <w:sz w:val="24"/>
          <w:szCs w:val="24"/>
        </w:rPr>
        <w:t>.</w:t>
      </w:r>
      <w:r w:rsidR="000941B7" w:rsidRPr="009978CF">
        <w:rPr>
          <w:rFonts w:eastAsia="Times New Roman" w:cs="Times New Roman"/>
          <w:sz w:val="24"/>
          <w:szCs w:val="24"/>
        </w:rPr>
        <w:t xml:space="preserve"> Obsługa komunikacyjna z istniejącego dojazdu z możliwością poszerzenia go w kierunku działki.</w:t>
      </w:r>
      <w:r w:rsidR="0072749B" w:rsidRPr="009978CF">
        <w:rPr>
          <w:rFonts w:eastAsia="Times New Roman" w:cs="Times New Roman"/>
          <w:sz w:val="24"/>
          <w:szCs w:val="24"/>
        </w:rPr>
        <w:t xml:space="preserve"> </w:t>
      </w:r>
      <w:r w:rsidR="00170ED0" w:rsidRPr="009978CF">
        <w:rPr>
          <w:rFonts w:eastAsia="Times New Roman" w:cs="Times New Roman"/>
          <w:sz w:val="24"/>
          <w:szCs w:val="24"/>
        </w:rPr>
        <w:t>Ewentualny remont</w:t>
      </w:r>
      <w:r w:rsidR="0072749B" w:rsidRPr="009978CF">
        <w:rPr>
          <w:rFonts w:eastAsia="Times New Roman" w:cs="Times New Roman"/>
          <w:sz w:val="24"/>
          <w:szCs w:val="24"/>
        </w:rPr>
        <w:t xml:space="preserve"> drogi </w:t>
      </w:r>
      <w:r w:rsidR="007E7E58" w:rsidRPr="009978CF">
        <w:rPr>
          <w:rFonts w:eastAsia="Times New Roman" w:cs="Times New Roman"/>
          <w:sz w:val="24"/>
          <w:szCs w:val="24"/>
        </w:rPr>
        <w:t xml:space="preserve">wymagać będzie </w:t>
      </w:r>
      <w:r w:rsidR="00170ED0" w:rsidRPr="009978CF">
        <w:rPr>
          <w:rFonts w:eastAsia="Times New Roman" w:cs="Times New Roman"/>
          <w:sz w:val="24"/>
          <w:szCs w:val="24"/>
        </w:rPr>
        <w:t xml:space="preserve">uzgodnień z zarządcą drogi. </w:t>
      </w:r>
      <w:r w:rsidR="00404F79" w:rsidRPr="009978CF">
        <w:rPr>
          <w:rFonts w:eastAsia="Times New Roman" w:cs="Times New Roman"/>
          <w:sz w:val="24"/>
          <w:szCs w:val="24"/>
        </w:rPr>
        <w:t>Dzierżawca</w:t>
      </w:r>
      <w:r w:rsidR="00170ED0" w:rsidRPr="009978CF">
        <w:rPr>
          <w:rFonts w:eastAsia="Times New Roman" w:cs="Times New Roman"/>
          <w:sz w:val="24"/>
          <w:szCs w:val="24"/>
        </w:rPr>
        <w:t xml:space="preserve"> nieruchomości remont wy</w:t>
      </w:r>
      <w:r w:rsidR="00CB25F7" w:rsidRPr="009978CF">
        <w:rPr>
          <w:rFonts w:eastAsia="Times New Roman" w:cs="Times New Roman"/>
          <w:sz w:val="24"/>
          <w:szCs w:val="24"/>
        </w:rPr>
        <w:t>kona we własnym zakresie i na własny koszt.</w:t>
      </w:r>
    </w:p>
    <w:p w:rsidR="00E96042" w:rsidRPr="009978CF" w:rsidRDefault="00E96042" w:rsidP="007C46AF">
      <w:pPr>
        <w:spacing w:after="0"/>
        <w:ind w:left="-142" w:right="-284"/>
        <w:rPr>
          <w:rFonts w:cs="Times New Roman"/>
          <w:b/>
          <w:sz w:val="24"/>
          <w:szCs w:val="24"/>
        </w:rPr>
      </w:pPr>
    </w:p>
    <w:p w:rsidR="00330367" w:rsidRPr="009978CF" w:rsidRDefault="000941B7" w:rsidP="007C46AF">
      <w:pPr>
        <w:spacing w:after="0" w:line="240" w:lineRule="auto"/>
        <w:ind w:left="-142"/>
        <w:rPr>
          <w:rFonts w:eastAsia="Times New Roman" w:cs="Times New Roman"/>
          <w:sz w:val="24"/>
          <w:szCs w:val="24"/>
        </w:rPr>
      </w:pPr>
      <w:r w:rsidRPr="009978CF">
        <w:rPr>
          <w:rFonts w:cs="Times New Roman"/>
          <w:i/>
          <w:sz w:val="24"/>
          <w:szCs w:val="24"/>
        </w:rPr>
        <w:t>Dostępność sieci</w:t>
      </w:r>
      <w:r w:rsidRPr="009978CF">
        <w:rPr>
          <w:rFonts w:cs="Times New Roman"/>
          <w:sz w:val="24"/>
          <w:szCs w:val="24"/>
        </w:rPr>
        <w:t xml:space="preserve"> –</w:t>
      </w:r>
      <w:r w:rsidRPr="009978CF">
        <w:rPr>
          <w:rFonts w:cs="Times New Roman"/>
          <w:i/>
          <w:sz w:val="24"/>
          <w:szCs w:val="24"/>
        </w:rPr>
        <w:t xml:space="preserve"> </w:t>
      </w:r>
      <w:r w:rsidR="00330367" w:rsidRPr="009978CF">
        <w:rPr>
          <w:rFonts w:eastAsia="Times New Roman" w:cs="Times New Roman"/>
          <w:sz w:val="24"/>
          <w:szCs w:val="24"/>
        </w:rPr>
        <w:t>Nieruchomość posiada możliwość przyłączenia do urządzeń infrastruktury technicznej, które znajdują się w ulicy Zamkowej. Przyłączenia nieruchomości do infrastruktury technicznej dzierżawca nieruchomości dokona we własnym zakresie, na warunkach właścicieli lub administratorów tych urządzeń.</w:t>
      </w:r>
    </w:p>
    <w:p w:rsidR="00641CD0" w:rsidRPr="009978CF" w:rsidRDefault="00641CD0" w:rsidP="002C75AE">
      <w:pPr>
        <w:spacing w:after="0"/>
        <w:ind w:right="-284"/>
        <w:rPr>
          <w:rFonts w:cs="Times New Roman"/>
          <w:sz w:val="24"/>
          <w:szCs w:val="24"/>
        </w:rPr>
      </w:pPr>
    </w:p>
    <w:p w:rsidR="000A5818" w:rsidRPr="009978CF" w:rsidRDefault="00B0149D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cs="Times New Roman"/>
          <w:i/>
          <w:sz w:val="24"/>
          <w:szCs w:val="24"/>
        </w:rPr>
        <w:t>Ogl</w:t>
      </w:r>
      <w:r w:rsidR="002C75AE" w:rsidRPr="009978CF">
        <w:rPr>
          <w:rFonts w:cs="Times New Roman"/>
          <w:i/>
          <w:sz w:val="24"/>
          <w:szCs w:val="24"/>
        </w:rPr>
        <w:t>ędziny</w:t>
      </w:r>
      <w:r w:rsidRPr="009978CF">
        <w:rPr>
          <w:rFonts w:cs="Times New Roman"/>
          <w:i/>
          <w:sz w:val="24"/>
          <w:szCs w:val="24"/>
        </w:rPr>
        <w:t xml:space="preserve"> nieruchomości – </w:t>
      </w:r>
      <w:r w:rsidRPr="009978CF">
        <w:rPr>
          <w:rFonts w:cs="Times New Roman"/>
          <w:sz w:val="24"/>
          <w:szCs w:val="24"/>
        </w:rPr>
        <w:t xml:space="preserve">po uprzednim uzgodnieniu z wydziałem Planowania Przestrzennego </w:t>
      </w:r>
      <w:r w:rsidR="009978CF">
        <w:rPr>
          <w:rFonts w:cs="Times New Roman"/>
          <w:sz w:val="24"/>
          <w:szCs w:val="24"/>
        </w:rPr>
        <w:br/>
      </w:r>
      <w:r w:rsidRPr="009978CF">
        <w:rPr>
          <w:rFonts w:cs="Times New Roman"/>
          <w:sz w:val="24"/>
          <w:szCs w:val="24"/>
        </w:rPr>
        <w:t>i Gospodarki Nieruchomościami Urzędu Miejskiego w Olecku tel.</w:t>
      </w:r>
      <w:r w:rsidR="000942F2" w:rsidRPr="009978CF">
        <w:rPr>
          <w:rFonts w:cs="Times New Roman"/>
          <w:sz w:val="24"/>
          <w:szCs w:val="24"/>
        </w:rPr>
        <w:t>,</w:t>
      </w:r>
      <w:r w:rsidRPr="009978CF">
        <w:rPr>
          <w:rFonts w:cs="Times New Roman"/>
          <w:sz w:val="24"/>
          <w:szCs w:val="24"/>
        </w:rPr>
        <w:t xml:space="preserve">  </w:t>
      </w:r>
      <w:r w:rsidR="00330367" w:rsidRPr="009978CF">
        <w:rPr>
          <w:rFonts w:cs="Times New Roman"/>
          <w:sz w:val="24"/>
          <w:szCs w:val="24"/>
        </w:rPr>
        <w:t>87 520 26 33.</w:t>
      </w:r>
    </w:p>
    <w:p w:rsidR="005E27F8" w:rsidRPr="009978CF" w:rsidRDefault="005E27F8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Dzierżawca zobowiązany będzie na własny koszt doprowadzić nieruchomość do stanu umożliwiającego przeznaczenie jej na cele prowadzonej działalności.</w:t>
      </w:r>
    </w:p>
    <w:p w:rsidR="0050691A" w:rsidRPr="009978CF" w:rsidRDefault="0050691A" w:rsidP="006E27C2">
      <w:pPr>
        <w:spacing w:after="0"/>
        <w:ind w:right="-284"/>
        <w:rPr>
          <w:rFonts w:cs="Times New Roman"/>
          <w:b/>
          <w:sz w:val="24"/>
          <w:szCs w:val="24"/>
        </w:rPr>
      </w:pPr>
    </w:p>
    <w:p w:rsidR="00B150B3" w:rsidRPr="009978CF" w:rsidRDefault="00B150B3" w:rsidP="007C46AF">
      <w:pPr>
        <w:spacing w:after="0"/>
        <w:ind w:left="-142"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Wykaz nieruchomości przeznaczonej do dzierżawy publikowany był na tablicy ogłoszeń Urzędu Miejskiego w Olecku w terminie</w:t>
      </w:r>
      <w:r w:rsidR="00CB7F64" w:rsidRPr="009978CF">
        <w:rPr>
          <w:rFonts w:cs="Times New Roman"/>
          <w:sz w:val="24"/>
          <w:szCs w:val="24"/>
        </w:rPr>
        <w:t xml:space="preserve"> </w:t>
      </w:r>
      <w:r w:rsidRPr="009978CF">
        <w:rPr>
          <w:rFonts w:cs="Times New Roman"/>
          <w:sz w:val="24"/>
          <w:szCs w:val="24"/>
        </w:rPr>
        <w:t>od</w:t>
      </w:r>
      <w:r w:rsidR="00661B17" w:rsidRPr="009978CF">
        <w:rPr>
          <w:rFonts w:cs="Times New Roman"/>
          <w:sz w:val="24"/>
          <w:szCs w:val="24"/>
        </w:rPr>
        <w:t xml:space="preserve"> </w:t>
      </w:r>
      <w:r w:rsidR="003141D9" w:rsidRPr="009978CF">
        <w:rPr>
          <w:rFonts w:cs="Times New Roman"/>
          <w:sz w:val="24"/>
          <w:szCs w:val="24"/>
        </w:rPr>
        <w:t>7</w:t>
      </w:r>
      <w:r w:rsidR="0004469D" w:rsidRPr="009978CF">
        <w:rPr>
          <w:rFonts w:cs="Times New Roman"/>
          <w:sz w:val="24"/>
          <w:szCs w:val="24"/>
        </w:rPr>
        <w:t xml:space="preserve"> </w:t>
      </w:r>
      <w:r w:rsidR="003141D9" w:rsidRPr="009978CF">
        <w:rPr>
          <w:rFonts w:cs="Times New Roman"/>
          <w:sz w:val="24"/>
          <w:szCs w:val="24"/>
        </w:rPr>
        <w:t>września</w:t>
      </w:r>
      <w:r w:rsidR="0004469D" w:rsidRPr="009978CF">
        <w:rPr>
          <w:rFonts w:cs="Times New Roman"/>
          <w:sz w:val="24"/>
          <w:szCs w:val="24"/>
        </w:rPr>
        <w:t xml:space="preserve"> 2021</w:t>
      </w:r>
      <w:r w:rsidRPr="009978CF">
        <w:rPr>
          <w:rFonts w:cs="Times New Roman"/>
          <w:sz w:val="24"/>
          <w:szCs w:val="24"/>
        </w:rPr>
        <w:t xml:space="preserve"> r. </w:t>
      </w:r>
      <w:r w:rsidR="00CB7F64" w:rsidRPr="009978CF">
        <w:rPr>
          <w:rFonts w:cs="Times New Roman"/>
          <w:sz w:val="24"/>
          <w:szCs w:val="24"/>
        </w:rPr>
        <w:t xml:space="preserve">   </w:t>
      </w:r>
      <w:r w:rsidRPr="009978CF">
        <w:rPr>
          <w:rFonts w:cs="Times New Roman"/>
          <w:sz w:val="24"/>
          <w:szCs w:val="24"/>
        </w:rPr>
        <w:t xml:space="preserve">do </w:t>
      </w:r>
      <w:r w:rsidR="003141D9" w:rsidRPr="009978CF">
        <w:rPr>
          <w:rFonts w:cs="Times New Roman"/>
          <w:sz w:val="24"/>
          <w:szCs w:val="24"/>
        </w:rPr>
        <w:t>1</w:t>
      </w:r>
      <w:r w:rsidR="0004469D" w:rsidRPr="009978CF">
        <w:rPr>
          <w:rFonts w:cs="Times New Roman"/>
          <w:sz w:val="24"/>
          <w:szCs w:val="24"/>
        </w:rPr>
        <w:t xml:space="preserve"> </w:t>
      </w:r>
      <w:r w:rsidR="003141D9" w:rsidRPr="009978CF">
        <w:rPr>
          <w:rFonts w:cs="Times New Roman"/>
          <w:sz w:val="24"/>
          <w:szCs w:val="24"/>
        </w:rPr>
        <w:t>października</w:t>
      </w:r>
      <w:r w:rsidR="0004469D" w:rsidRPr="009978CF">
        <w:rPr>
          <w:rFonts w:cs="Times New Roman"/>
          <w:sz w:val="24"/>
          <w:szCs w:val="24"/>
        </w:rPr>
        <w:t xml:space="preserve"> 2021</w:t>
      </w:r>
      <w:r w:rsidRPr="009978CF">
        <w:rPr>
          <w:rFonts w:cs="Times New Roman"/>
          <w:sz w:val="24"/>
          <w:szCs w:val="24"/>
        </w:rPr>
        <w:t xml:space="preserve"> r. Ponadto informacja o przeznaczeniu nieruchomości do dzierżawy była zamieszczana na stronach internetowych </w:t>
      </w:r>
      <w:hyperlink r:id="rId7" w:history="1">
        <w:r w:rsidRPr="009978CF">
          <w:rPr>
            <w:rStyle w:val="Hipercze"/>
            <w:rFonts w:cs="Times New Roman"/>
            <w:color w:val="auto"/>
            <w:sz w:val="24"/>
            <w:szCs w:val="24"/>
          </w:rPr>
          <w:t>www.bip.olecko.pl</w:t>
        </w:r>
      </w:hyperlink>
      <w:r w:rsidRPr="009978CF">
        <w:rPr>
          <w:rFonts w:cs="Times New Roman"/>
          <w:sz w:val="24"/>
          <w:szCs w:val="24"/>
        </w:rPr>
        <w:t xml:space="preserve">, </w:t>
      </w:r>
      <w:hyperlink r:id="rId8" w:history="1">
        <w:r w:rsidRPr="009978CF">
          <w:rPr>
            <w:rStyle w:val="Hipercze"/>
            <w:rFonts w:cs="Times New Roman"/>
            <w:color w:val="auto"/>
            <w:sz w:val="24"/>
            <w:szCs w:val="24"/>
          </w:rPr>
          <w:t>www.um.olecko.pl</w:t>
        </w:r>
      </w:hyperlink>
      <w:r w:rsidRPr="009978CF">
        <w:rPr>
          <w:rFonts w:cs="Times New Roman"/>
          <w:sz w:val="24"/>
          <w:szCs w:val="24"/>
        </w:rPr>
        <w:t xml:space="preserve"> i w tygodniku ,,Głos Ole</w:t>
      </w:r>
      <w:r w:rsidR="007805F1" w:rsidRPr="009978CF">
        <w:rPr>
          <w:rFonts w:cs="Times New Roman"/>
          <w:sz w:val="24"/>
          <w:szCs w:val="24"/>
        </w:rPr>
        <w:t xml:space="preserve">cka” Nr </w:t>
      </w:r>
      <w:r w:rsidR="005A24B1" w:rsidRPr="009978CF">
        <w:rPr>
          <w:rFonts w:cs="Times New Roman"/>
          <w:sz w:val="24"/>
          <w:szCs w:val="24"/>
        </w:rPr>
        <w:t>3</w:t>
      </w:r>
      <w:r w:rsidR="003141D9" w:rsidRPr="009978CF">
        <w:rPr>
          <w:rFonts w:cs="Times New Roman"/>
          <w:sz w:val="24"/>
          <w:szCs w:val="24"/>
        </w:rPr>
        <w:t>6</w:t>
      </w:r>
      <w:r w:rsidR="007805F1" w:rsidRPr="009978CF">
        <w:rPr>
          <w:rFonts w:cs="Times New Roman"/>
          <w:sz w:val="24"/>
          <w:szCs w:val="24"/>
        </w:rPr>
        <w:t xml:space="preserve"> z dnia </w:t>
      </w:r>
      <w:r w:rsidR="003141D9" w:rsidRPr="009978CF">
        <w:rPr>
          <w:rFonts w:cs="Times New Roman"/>
          <w:sz w:val="24"/>
          <w:szCs w:val="24"/>
        </w:rPr>
        <w:t>10</w:t>
      </w:r>
      <w:r w:rsidR="005A24B1" w:rsidRPr="009978CF">
        <w:rPr>
          <w:rFonts w:cs="Times New Roman"/>
          <w:sz w:val="24"/>
          <w:szCs w:val="24"/>
        </w:rPr>
        <w:t xml:space="preserve"> </w:t>
      </w:r>
      <w:r w:rsidR="003141D9" w:rsidRPr="009978CF">
        <w:rPr>
          <w:rFonts w:cs="Times New Roman"/>
          <w:sz w:val="24"/>
          <w:szCs w:val="24"/>
        </w:rPr>
        <w:t>września</w:t>
      </w:r>
      <w:r w:rsidR="005A24B1" w:rsidRPr="009978CF">
        <w:rPr>
          <w:rFonts w:cs="Times New Roman"/>
          <w:sz w:val="24"/>
          <w:szCs w:val="24"/>
        </w:rPr>
        <w:t xml:space="preserve"> 2021</w:t>
      </w:r>
      <w:r w:rsidRPr="009978CF">
        <w:rPr>
          <w:rFonts w:cs="Times New Roman"/>
          <w:sz w:val="24"/>
          <w:szCs w:val="24"/>
        </w:rPr>
        <w:t xml:space="preserve"> r.</w:t>
      </w:r>
    </w:p>
    <w:p w:rsidR="00491F10" w:rsidRDefault="00491F10" w:rsidP="007C46AF">
      <w:pPr>
        <w:spacing w:after="0"/>
        <w:ind w:left="-142" w:right="-284"/>
        <w:rPr>
          <w:rFonts w:cs="Times New Roman"/>
          <w:sz w:val="24"/>
          <w:szCs w:val="24"/>
        </w:rPr>
      </w:pPr>
    </w:p>
    <w:p w:rsidR="006E27C2" w:rsidRPr="009978CF" w:rsidRDefault="006E27C2" w:rsidP="007C46AF">
      <w:pPr>
        <w:spacing w:after="0"/>
        <w:ind w:left="-142" w:right="-284"/>
        <w:rPr>
          <w:rFonts w:cs="Times New Roman"/>
          <w:sz w:val="24"/>
          <w:szCs w:val="24"/>
        </w:rPr>
      </w:pPr>
    </w:p>
    <w:p w:rsidR="00491F10" w:rsidRPr="009978CF" w:rsidRDefault="00491F10" w:rsidP="007C46A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Warunkiem udziału w  przetargu jest :</w:t>
      </w:r>
    </w:p>
    <w:p w:rsidR="00491F10" w:rsidRPr="009978CF" w:rsidRDefault="00491F10" w:rsidP="007C46A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Wniesienie wadium</w:t>
      </w:r>
    </w:p>
    <w:p w:rsidR="00491F10" w:rsidRPr="009978CF" w:rsidRDefault="00491F10" w:rsidP="007C46AF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Złożenie oferty </w:t>
      </w:r>
    </w:p>
    <w:p w:rsidR="00801447" w:rsidRPr="009978CF" w:rsidRDefault="00801447" w:rsidP="007C46AF">
      <w:pPr>
        <w:spacing w:after="0"/>
        <w:ind w:left="-142" w:right="-284"/>
        <w:rPr>
          <w:rFonts w:cs="Times New Roman"/>
          <w:sz w:val="24"/>
          <w:szCs w:val="24"/>
        </w:rPr>
      </w:pPr>
    </w:p>
    <w:p w:rsidR="00BD71E9" w:rsidRPr="009978CF" w:rsidRDefault="00BD71E9" w:rsidP="007C46AF">
      <w:pPr>
        <w:spacing w:after="0"/>
        <w:ind w:left="-142" w:right="-284"/>
        <w:rPr>
          <w:b/>
          <w:sz w:val="24"/>
          <w:szCs w:val="24"/>
        </w:rPr>
      </w:pPr>
      <w:r w:rsidRPr="009978CF">
        <w:rPr>
          <w:b/>
          <w:sz w:val="24"/>
          <w:szCs w:val="24"/>
        </w:rPr>
        <w:t>Wadium należy wpłacać na konto Urzędu Miejskiego w Olecku w PKO BP S.A. Oddz. w Olecku Nr 86 1020 4</w:t>
      </w:r>
      <w:r w:rsidR="00CB7F64" w:rsidRPr="009978CF">
        <w:rPr>
          <w:b/>
          <w:sz w:val="24"/>
          <w:szCs w:val="24"/>
        </w:rPr>
        <w:t xml:space="preserve">724 0000 3202 0007 6422 z takim </w:t>
      </w:r>
      <w:r w:rsidRPr="009978CF">
        <w:rPr>
          <w:b/>
          <w:sz w:val="24"/>
          <w:szCs w:val="24"/>
        </w:rPr>
        <w:t xml:space="preserve">wyprzedzeniem, aby najpóźniej w dniu </w:t>
      </w:r>
      <w:r w:rsidR="005872CD" w:rsidRPr="009978CF">
        <w:rPr>
          <w:b/>
          <w:sz w:val="24"/>
          <w:szCs w:val="24"/>
        </w:rPr>
        <w:t>10</w:t>
      </w:r>
      <w:r w:rsidRPr="009978CF">
        <w:rPr>
          <w:b/>
          <w:sz w:val="24"/>
          <w:szCs w:val="24"/>
        </w:rPr>
        <w:t xml:space="preserve"> </w:t>
      </w:r>
      <w:r w:rsidR="005872CD" w:rsidRPr="009978CF">
        <w:rPr>
          <w:b/>
          <w:sz w:val="24"/>
          <w:szCs w:val="24"/>
        </w:rPr>
        <w:t>grudnia</w:t>
      </w:r>
      <w:r w:rsidRPr="009978CF">
        <w:rPr>
          <w:b/>
          <w:sz w:val="24"/>
          <w:szCs w:val="24"/>
        </w:rPr>
        <w:t xml:space="preserve"> 2021 r. nastąpiło uznanie rachunku bankowego.</w:t>
      </w:r>
    </w:p>
    <w:p w:rsidR="00BD71E9" w:rsidRPr="009978CF" w:rsidRDefault="00BD71E9" w:rsidP="007C46AF">
      <w:pPr>
        <w:spacing w:after="0"/>
        <w:ind w:left="-142" w:right="-284"/>
        <w:rPr>
          <w:b/>
          <w:sz w:val="24"/>
          <w:szCs w:val="24"/>
        </w:rPr>
      </w:pPr>
    </w:p>
    <w:p w:rsidR="00801447" w:rsidRPr="009978CF" w:rsidRDefault="00801447" w:rsidP="007C46AF">
      <w:pPr>
        <w:spacing w:after="0"/>
        <w:ind w:left="-142" w:right="-284"/>
        <w:rPr>
          <w:rFonts w:cs="Times New Roman"/>
          <w:b/>
          <w:sz w:val="24"/>
          <w:szCs w:val="24"/>
        </w:rPr>
      </w:pPr>
      <w:r w:rsidRPr="009978CF">
        <w:rPr>
          <w:rFonts w:cs="Times New Roman"/>
          <w:b/>
          <w:sz w:val="24"/>
          <w:szCs w:val="24"/>
        </w:rPr>
        <w:t>Oferty należy składać w Urzęd</w:t>
      </w:r>
      <w:r w:rsidR="001B1EF7" w:rsidRPr="009978CF">
        <w:rPr>
          <w:rFonts w:cs="Times New Roman"/>
          <w:b/>
          <w:sz w:val="24"/>
          <w:szCs w:val="24"/>
        </w:rPr>
        <w:t>zie</w:t>
      </w:r>
      <w:r w:rsidRPr="009978CF">
        <w:rPr>
          <w:rFonts w:cs="Times New Roman"/>
          <w:b/>
          <w:sz w:val="24"/>
          <w:szCs w:val="24"/>
        </w:rPr>
        <w:t xml:space="preserve"> Miejski</w:t>
      </w:r>
      <w:r w:rsidR="001B1EF7" w:rsidRPr="009978CF">
        <w:rPr>
          <w:rFonts w:cs="Times New Roman"/>
          <w:b/>
          <w:sz w:val="24"/>
          <w:szCs w:val="24"/>
        </w:rPr>
        <w:t>m</w:t>
      </w:r>
      <w:r w:rsidRPr="009978CF">
        <w:rPr>
          <w:rFonts w:cs="Times New Roman"/>
          <w:b/>
          <w:sz w:val="24"/>
          <w:szCs w:val="24"/>
        </w:rPr>
        <w:t xml:space="preserve"> w Olecku, w terminie do dnia </w:t>
      </w:r>
      <w:r w:rsidR="005872CD" w:rsidRPr="009978CF">
        <w:rPr>
          <w:rFonts w:cs="Times New Roman"/>
          <w:b/>
          <w:sz w:val="24"/>
          <w:szCs w:val="24"/>
        </w:rPr>
        <w:t>10 grudnia</w:t>
      </w:r>
      <w:r w:rsidR="00C85D54" w:rsidRPr="009978CF">
        <w:rPr>
          <w:rFonts w:cs="Times New Roman"/>
          <w:b/>
          <w:sz w:val="24"/>
          <w:szCs w:val="24"/>
        </w:rPr>
        <w:t xml:space="preserve"> </w:t>
      </w:r>
      <w:r w:rsidRPr="009978CF">
        <w:rPr>
          <w:rFonts w:cs="Times New Roman"/>
          <w:b/>
          <w:sz w:val="24"/>
          <w:szCs w:val="24"/>
        </w:rPr>
        <w:t>20</w:t>
      </w:r>
      <w:r w:rsidR="00EA5645" w:rsidRPr="009978CF">
        <w:rPr>
          <w:rFonts w:cs="Times New Roman"/>
          <w:b/>
          <w:sz w:val="24"/>
          <w:szCs w:val="24"/>
        </w:rPr>
        <w:t>21</w:t>
      </w:r>
      <w:r w:rsidRPr="009978CF">
        <w:rPr>
          <w:rFonts w:cs="Times New Roman"/>
          <w:b/>
          <w:sz w:val="24"/>
          <w:szCs w:val="24"/>
        </w:rPr>
        <w:t xml:space="preserve"> r. do godz. 15.</w:t>
      </w:r>
      <w:r w:rsidR="00EC0BAF" w:rsidRPr="009978CF">
        <w:rPr>
          <w:rFonts w:cs="Times New Roman"/>
          <w:b/>
          <w:sz w:val="24"/>
          <w:szCs w:val="24"/>
        </w:rPr>
        <w:t>00</w:t>
      </w:r>
      <w:r w:rsidR="00641CD0" w:rsidRPr="009978CF">
        <w:rPr>
          <w:rFonts w:cs="Times New Roman"/>
          <w:b/>
          <w:sz w:val="24"/>
          <w:szCs w:val="24"/>
        </w:rPr>
        <w:t xml:space="preserve">. Oferta winna być złożona w </w:t>
      </w:r>
      <w:r w:rsidRPr="009978CF">
        <w:rPr>
          <w:rFonts w:cs="Times New Roman"/>
          <w:b/>
          <w:sz w:val="24"/>
          <w:szCs w:val="24"/>
        </w:rPr>
        <w:t>zamkniętej kopercie z napisem: ,,</w:t>
      </w:r>
      <w:r w:rsidR="003141D9" w:rsidRPr="009978CF">
        <w:rPr>
          <w:rFonts w:cs="Times New Roman"/>
          <w:b/>
          <w:sz w:val="24"/>
          <w:szCs w:val="24"/>
        </w:rPr>
        <w:t>Przetarg na dzierżawę nieruchomości przy ul. Zamkowej w Olecku</w:t>
      </w:r>
      <w:r w:rsidRPr="009978CF">
        <w:rPr>
          <w:rFonts w:cs="Times New Roman"/>
          <w:b/>
          <w:sz w:val="24"/>
          <w:szCs w:val="24"/>
        </w:rPr>
        <w:t>”.</w:t>
      </w:r>
    </w:p>
    <w:p w:rsidR="00491F10" w:rsidRDefault="00491F10" w:rsidP="009978CF">
      <w:pPr>
        <w:spacing w:after="0"/>
        <w:ind w:right="-284"/>
        <w:rPr>
          <w:rFonts w:cs="Times New Roman"/>
          <w:b/>
          <w:sz w:val="24"/>
          <w:szCs w:val="24"/>
        </w:rPr>
      </w:pPr>
    </w:p>
    <w:p w:rsidR="006E27C2" w:rsidRPr="009978CF" w:rsidRDefault="006E27C2" w:rsidP="009978CF">
      <w:pPr>
        <w:spacing w:after="0"/>
        <w:ind w:right="-284"/>
        <w:rPr>
          <w:rFonts w:cs="Times New Roman"/>
          <w:b/>
          <w:sz w:val="24"/>
          <w:szCs w:val="24"/>
        </w:rPr>
      </w:pPr>
    </w:p>
    <w:p w:rsidR="00A117D3" w:rsidRPr="009978CF" w:rsidRDefault="00491F10" w:rsidP="007C46AF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9978CF">
        <w:rPr>
          <w:rStyle w:val="Pogrubienie"/>
          <w:rFonts w:asciiTheme="minorHAnsi" w:hAnsiTheme="minorHAnsi"/>
          <w:u w:val="single"/>
        </w:rPr>
        <w:t>Oferta winna zawierać:</w:t>
      </w:r>
      <w:r w:rsidRPr="009978CF">
        <w:rPr>
          <w:rFonts w:asciiTheme="minorHAnsi" w:hAnsiTheme="minorHAnsi"/>
        </w:rPr>
        <w:br/>
      </w:r>
      <w:r w:rsidRPr="009978CF">
        <w:rPr>
          <w:rFonts w:asciiTheme="minorHAnsi" w:hAnsiTheme="minorHAnsi" w:cs="Arial"/>
        </w:rPr>
        <w:t>1. Imię, nazwisko</w:t>
      </w:r>
      <w:r w:rsidR="00414C73" w:rsidRPr="009978CF">
        <w:rPr>
          <w:rFonts w:asciiTheme="minorHAnsi" w:hAnsiTheme="minorHAnsi" w:cs="Arial"/>
        </w:rPr>
        <w:t xml:space="preserve"> albo nazwę firmy i siedziby</w:t>
      </w:r>
      <w:r w:rsidRPr="009978CF">
        <w:rPr>
          <w:rFonts w:asciiTheme="minorHAnsi" w:hAnsiTheme="minorHAnsi" w:cs="Arial"/>
        </w:rPr>
        <w:t xml:space="preserve"> oraz adres oferenta.</w:t>
      </w:r>
      <w:r w:rsidRPr="009978CF">
        <w:rPr>
          <w:rFonts w:asciiTheme="minorHAnsi" w:hAnsiTheme="minorHAnsi"/>
        </w:rPr>
        <w:br/>
      </w:r>
      <w:r w:rsidRPr="009978CF">
        <w:rPr>
          <w:rFonts w:asciiTheme="minorHAnsi" w:hAnsiTheme="minorHAnsi" w:cs="Arial"/>
        </w:rPr>
        <w:t xml:space="preserve">2. W przypadku osób fizycznych prowadzących działalność gospodarczą </w:t>
      </w:r>
      <w:r w:rsidR="00B270B7" w:rsidRPr="009978CF">
        <w:rPr>
          <w:rFonts w:asciiTheme="minorHAnsi" w:hAnsiTheme="minorHAnsi" w:cs="Arial"/>
        </w:rPr>
        <w:t>–</w:t>
      </w:r>
      <w:r w:rsidR="002C75AE" w:rsidRPr="009978CF">
        <w:rPr>
          <w:rFonts w:asciiTheme="minorHAnsi" w:hAnsiTheme="minorHAnsi" w:cs="Arial"/>
        </w:rPr>
        <w:t xml:space="preserve"> aktualny</w:t>
      </w:r>
      <w:r w:rsidR="00B270B7" w:rsidRPr="009978CF">
        <w:rPr>
          <w:rFonts w:asciiTheme="minorHAnsi" w:hAnsiTheme="minorHAnsi"/>
        </w:rPr>
        <w:t xml:space="preserve"> </w:t>
      </w:r>
      <w:r w:rsidR="002C75AE" w:rsidRPr="009978CF">
        <w:rPr>
          <w:rFonts w:asciiTheme="minorHAnsi" w:hAnsiTheme="minorHAnsi" w:cs="Arial"/>
        </w:rPr>
        <w:t>wydruk</w:t>
      </w:r>
      <w:r w:rsidRPr="009978CF">
        <w:rPr>
          <w:rFonts w:asciiTheme="minorHAnsi" w:hAnsiTheme="minorHAnsi" w:cs="Arial"/>
        </w:rPr>
        <w:t xml:space="preserve"> z Centralnej Ewidencji i Informacji o Działalności </w:t>
      </w:r>
      <w:r w:rsidR="002C75AE" w:rsidRPr="009978CF">
        <w:rPr>
          <w:rFonts w:asciiTheme="minorHAnsi" w:hAnsiTheme="minorHAnsi" w:cs="Arial"/>
        </w:rPr>
        <w:t>Gospodarczej (datowany</w:t>
      </w:r>
      <w:r w:rsidR="00B270B7" w:rsidRPr="009978CF">
        <w:rPr>
          <w:rFonts w:asciiTheme="minorHAnsi" w:hAnsiTheme="minorHAnsi"/>
        </w:rPr>
        <w:t xml:space="preserve"> </w:t>
      </w:r>
      <w:r w:rsidRPr="009978CF">
        <w:rPr>
          <w:rFonts w:asciiTheme="minorHAnsi" w:hAnsiTheme="minorHAnsi" w:cs="Arial"/>
        </w:rPr>
        <w:t xml:space="preserve">najpóźniej na dzień przed złożeniem oferty) </w:t>
      </w:r>
      <w:r w:rsidR="0072749B" w:rsidRPr="009978CF">
        <w:rPr>
          <w:rFonts w:asciiTheme="minorHAnsi" w:hAnsiTheme="minorHAnsi" w:cs="Arial"/>
        </w:rPr>
        <w:t>.</w:t>
      </w:r>
      <w:r w:rsidRPr="009978CF">
        <w:rPr>
          <w:rFonts w:asciiTheme="minorHAnsi" w:hAnsiTheme="minorHAnsi"/>
        </w:rPr>
        <w:br/>
      </w:r>
      <w:r w:rsidRPr="009978CF">
        <w:rPr>
          <w:rFonts w:asciiTheme="minorHAnsi" w:hAnsiTheme="minorHAnsi" w:cs="Arial"/>
        </w:rPr>
        <w:t>3. W przypadku osób prawnych i jednostek organizacyjnych nie posiadających</w:t>
      </w:r>
      <w:r w:rsidR="00B270B7" w:rsidRPr="009978CF">
        <w:rPr>
          <w:rFonts w:asciiTheme="minorHAnsi" w:hAnsiTheme="minorHAnsi"/>
        </w:rPr>
        <w:t xml:space="preserve"> </w:t>
      </w:r>
      <w:r w:rsidRPr="009978CF">
        <w:rPr>
          <w:rFonts w:asciiTheme="minorHAnsi" w:hAnsiTheme="minorHAnsi" w:cs="Arial"/>
        </w:rPr>
        <w:t xml:space="preserve">osobowości prawnej a podlegających wpisom do rejestrów - aktualnego </w:t>
      </w:r>
      <w:r w:rsidR="00414C73" w:rsidRPr="009978CF">
        <w:rPr>
          <w:rFonts w:asciiTheme="minorHAnsi" w:hAnsiTheme="minorHAnsi" w:cs="Arial"/>
        </w:rPr>
        <w:t>od</w:t>
      </w:r>
      <w:r w:rsidRPr="009978CF">
        <w:rPr>
          <w:rFonts w:asciiTheme="minorHAnsi" w:hAnsiTheme="minorHAnsi" w:cs="Arial"/>
        </w:rPr>
        <w:t>pisu z</w:t>
      </w:r>
      <w:r w:rsidR="00B270B7" w:rsidRPr="009978CF">
        <w:rPr>
          <w:rFonts w:asciiTheme="minorHAnsi" w:hAnsiTheme="minorHAnsi"/>
        </w:rPr>
        <w:t xml:space="preserve"> </w:t>
      </w:r>
      <w:r w:rsidR="00414C73" w:rsidRPr="009978CF">
        <w:rPr>
          <w:rFonts w:asciiTheme="minorHAnsi" w:hAnsiTheme="minorHAnsi"/>
        </w:rPr>
        <w:t xml:space="preserve">właściwego </w:t>
      </w:r>
      <w:r w:rsidRPr="009978CF">
        <w:rPr>
          <w:rFonts w:asciiTheme="minorHAnsi" w:hAnsiTheme="minorHAnsi" w:cs="Arial"/>
        </w:rPr>
        <w:t xml:space="preserve">rejestru, właściwych pełnomocnictw. </w:t>
      </w:r>
      <w:r w:rsidR="00414C73" w:rsidRPr="009978CF">
        <w:rPr>
          <w:rFonts w:asciiTheme="minorHAnsi" w:hAnsiTheme="minorHAnsi" w:cs="Arial"/>
        </w:rPr>
        <w:t xml:space="preserve">Odpis nie powinien być sporządzony nie wcześniej niż 3 miesiące przed datą złożenia oferty. </w:t>
      </w:r>
      <w:r w:rsidRPr="009978CF">
        <w:rPr>
          <w:rFonts w:asciiTheme="minorHAnsi" w:hAnsiTheme="minorHAnsi"/>
        </w:rPr>
        <w:br/>
      </w:r>
      <w:r w:rsidRPr="009978CF">
        <w:rPr>
          <w:rFonts w:asciiTheme="minorHAnsi" w:hAnsiTheme="minorHAnsi" w:cs="Arial"/>
        </w:rPr>
        <w:t>4. Datę sporządzenia oferty.</w:t>
      </w:r>
      <w:r w:rsidRPr="009978CF">
        <w:rPr>
          <w:rFonts w:asciiTheme="minorHAnsi" w:hAnsiTheme="minorHAnsi"/>
        </w:rPr>
        <w:br/>
      </w:r>
      <w:r w:rsidRPr="009978CF">
        <w:rPr>
          <w:rFonts w:asciiTheme="minorHAnsi" w:hAnsiTheme="minorHAnsi" w:cs="Arial"/>
        </w:rPr>
        <w:lastRenderedPageBreak/>
        <w:t>5.</w:t>
      </w:r>
      <w:r w:rsidR="0072749B" w:rsidRPr="009978CF">
        <w:rPr>
          <w:rFonts w:asciiTheme="minorHAnsi" w:hAnsiTheme="minorHAnsi" w:cs="Arial"/>
        </w:rPr>
        <w:t xml:space="preserve"> </w:t>
      </w:r>
      <w:r w:rsidR="007E7E58" w:rsidRPr="009978CF">
        <w:rPr>
          <w:rFonts w:asciiTheme="minorHAnsi" w:hAnsiTheme="minorHAnsi" w:cs="Arial"/>
        </w:rPr>
        <w:t>W</w:t>
      </w:r>
      <w:r w:rsidR="00A117D3" w:rsidRPr="009978CF">
        <w:rPr>
          <w:rFonts w:asciiTheme="minorHAnsi" w:hAnsiTheme="minorHAnsi" w:cs="Arial"/>
        </w:rPr>
        <w:t>i</w:t>
      </w:r>
      <w:r w:rsidR="007E7E58" w:rsidRPr="009978CF">
        <w:rPr>
          <w:rFonts w:asciiTheme="minorHAnsi" w:hAnsiTheme="minorHAnsi" w:cs="Arial"/>
        </w:rPr>
        <w:t>zualizacja planowanych obiektów z</w:t>
      </w:r>
      <w:r w:rsidR="00414C73" w:rsidRPr="009978CF">
        <w:rPr>
          <w:rFonts w:asciiTheme="minorHAnsi" w:hAnsiTheme="minorHAnsi" w:cs="Arial"/>
        </w:rPr>
        <w:t xml:space="preserve"> opisową koncepcją</w:t>
      </w:r>
      <w:r w:rsidRPr="009978CF">
        <w:rPr>
          <w:rFonts w:asciiTheme="minorHAnsi" w:hAnsiTheme="minorHAnsi" w:cs="Arial"/>
        </w:rPr>
        <w:t xml:space="preserve"> zagosp</w:t>
      </w:r>
      <w:r w:rsidR="007E7E58" w:rsidRPr="009978CF">
        <w:rPr>
          <w:rFonts w:asciiTheme="minorHAnsi" w:hAnsiTheme="minorHAnsi" w:cs="Arial"/>
        </w:rPr>
        <w:t>odarowania przedmiotu dzierżawy, zgodnie z wytycznymi:</w:t>
      </w:r>
      <w:r w:rsidR="002D7FF2" w:rsidRPr="009978CF">
        <w:rPr>
          <w:rFonts w:asciiTheme="minorHAnsi" w:hAnsiTheme="minorHAnsi" w:cs="Arial"/>
        </w:rPr>
        <w:t xml:space="preserve"> </w:t>
      </w:r>
    </w:p>
    <w:p w:rsidR="00A117D3" w:rsidRPr="009978CF" w:rsidRDefault="00A117D3" w:rsidP="007C46A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978CF">
        <w:rPr>
          <w:rFonts w:asciiTheme="minorHAnsi" w:hAnsiTheme="minorHAnsi" w:cs="Arial"/>
        </w:rPr>
        <w:t xml:space="preserve">5.1. </w:t>
      </w:r>
      <w:r w:rsidR="0074137D" w:rsidRPr="009978CF">
        <w:rPr>
          <w:rFonts w:asciiTheme="minorHAnsi" w:hAnsiTheme="minorHAnsi"/>
        </w:rPr>
        <w:t>K</w:t>
      </w:r>
      <w:r w:rsidRPr="009978CF">
        <w:rPr>
          <w:rFonts w:asciiTheme="minorHAnsi" w:hAnsiTheme="minorHAnsi"/>
        </w:rPr>
        <w:t>olorystyka dachów – w odcieniach koloru dachówki na istniejącej zabudowie (ceglasta czerwień);</w:t>
      </w:r>
    </w:p>
    <w:p w:rsidR="00A117D3" w:rsidRPr="009978CF" w:rsidRDefault="00A117D3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sz w:val="24"/>
          <w:szCs w:val="24"/>
        </w:rPr>
        <w:t xml:space="preserve">5.2. </w:t>
      </w:r>
      <w:r w:rsidR="0074137D" w:rsidRPr="009978CF">
        <w:rPr>
          <w:rFonts w:eastAsia="Times New Roman" w:cs="Times New Roman"/>
          <w:sz w:val="24"/>
          <w:szCs w:val="24"/>
          <w:lang w:eastAsia="pl-PL"/>
        </w:rPr>
        <w:t>T</w:t>
      </w:r>
      <w:r w:rsidRPr="009978CF">
        <w:rPr>
          <w:rFonts w:eastAsia="Times New Roman" w:cs="Times New Roman"/>
          <w:sz w:val="24"/>
          <w:szCs w:val="24"/>
          <w:lang w:eastAsia="pl-PL"/>
        </w:rPr>
        <w:t>ynki zewnętrzne należy stosować w kolorach pastelowych o niskim lub średnim nasyceniu barw, wyklucza się okładziny typu „</w:t>
      </w:r>
      <w:proofErr w:type="spellStart"/>
      <w:r w:rsidRPr="009978CF">
        <w:rPr>
          <w:rFonts w:eastAsia="Times New Roman" w:cs="Times New Roman"/>
          <w:sz w:val="24"/>
          <w:szCs w:val="24"/>
          <w:lang w:eastAsia="pl-PL"/>
        </w:rPr>
        <w:t>siding</w:t>
      </w:r>
      <w:proofErr w:type="spellEnd"/>
      <w:r w:rsidRPr="009978CF">
        <w:rPr>
          <w:rFonts w:eastAsia="Times New Roman" w:cs="Times New Roman"/>
          <w:sz w:val="24"/>
          <w:szCs w:val="24"/>
          <w:lang w:eastAsia="pl-PL"/>
        </w:rPr>
        <w:t>”, wykończenie elewacji materiałami: tynkiem, cegłą bądź okładziną ceglaną, drewnem bądź okładziną drewnianą, kamieniem bądź okładziną kamienną, szkłem lub materiałem odwzorowującym fakturę materiałów szlachetnych np.: kompozyt drewnopodobny;</w:t>
      </w:r>
    </w:p>
    <w:p w:rsidR="00A117D3" w:rsidRPr="009978CF" w:rsidRDefault="00A117D3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 xml:space="preserve">5.3. </w:t>
      </w:r>
      <w:r w:rsidR="0074137D" w:rsidRPr="009978CF">
        <w:rPr>
          <w:rFonts w:eastAsia="Times New Roman" w:cs="Times New Roman"/>
          <w:sz w:val="24"/>
          <w:szCs w:val="24"/>
          <w:lang w:eastAsia="pl-PL"/>
        </w:rPr>
        <w:t>Z</w:t>
      </w:r>
      <w:r w:rsidRPr="009978CF">
        <w:rPr>
          <w:rFonts w:eastAsia="Times New Roman" w:cs="Times New Roman"/>
          <w:sz w:val="24"/>
          <w:szCs w:val="24"/>
          <w:lang w:eastAsia="pl-PL"/>
        </w:rPr>
        <w:t xml:space="preserve">estawienie powierzchni na terenie opracowania: </w:t>
      </w:r>
    </w:p>
    <w:p w:rsidR="00A117D3" w:rsidRPr="009978CF" w:rsidRDefault="00A117D3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a) powierzchnia zabudowy,</w:t>
      </w:r>
    </w:p>
    <w:p w:rsidR="00A117D3" w:rsidRPr="009978CF" w:rsidRDefault="00A117D3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b) powierzchnia utwardzona, w tym:</w:t>
      </w:r>
    </w:p>
    <w:p w:rsidR="00A117D3" w:rsidRPr="009978CF" w:rsidRDefault="00A117D3" w:rsidP="007413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 xml:space="preserve">- drogi wewnętrzne i miejsca parkingowe, </w:t>
      </w:r>
    </w:p>
    <w:p w:rsidR="00A117D3" w:rsidRPr="009978CF" w:rsidRDefault="00A117D3" w:rsidP="0074137D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 xml:space="preserve">- inne (wymienić jakie), </w:t>
      </w:r>
    </w:p>
    <w:p w:rsidR="001D3BBF" w:rsidRPr="009978CF" w:rsidRDefault="00A117D3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c) powierzchnia terenów zieleni.</w:t>
      </w:r>
    </w:p>
    <w:p w:rsidR="007E7E58" w:rsidRPr="009978CF" w:rsidRDefault="001D3BBF" w:rsidP="00A117D3">
      <w:pPr>
        <w:spacing w:after="0" w:line="240" w:lineRule="auto"/>
        <w:rPr>
          <w:rFonts w:cs="Arial"/>
          <w:sz w:val="24"/>
          <w:szCs w:val="24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5.4. W koncepcji zagospodarowania przedmiotu dzierżawy należy wskazać jakie</w:t>
      </w:r>
      <w:r w:rsidR="0035464B" w:rsidRPr="009978CF">
        <w:rPr>
          <w:rFonts w:eastAsia="Times New Roman" w:cs="Times New Roman"/>
          <w:sz w:val="24"/>
          <w:szCs w:val="24"/>
          <w:lang w:eastAsia="pl-PL"/>
        </w:rPr>
        <w:t xml:space="preserve"> udogodnienia </w:t>
      </w:r>
      <w:r w:rsidRPr="009978CF">
        <w:rPr>
          <w:rFonts w:eastAsia="Times New Roman" w:cs="Times New Roman"/>
          <w:sz w:val="24"/>
          <w:szCs w:val="24"/>
          <w:lang w:eastAsia="pl-PL"/>
        </w:rPr>
        <w:t xml:space="preserve"> zostaną zastosowane w celu   zapewnienia </w:t>
      </w:r>
      <w:r w:rsidR="0035464B" w:rsidRPr="009978CF">
        <w:rPr>
          <w:rFonts w:eastAsia="Times New Roman" w:cs="Times New Roman"/>
          <w:sz w:val="24"/>
          <w:szCs w:val="24"/>
          <w:lang w:eastAsia="pl-PL"/>
        </w:rPr>
        <w:t xml:space="preserve">dostępności dla osób ze szczególnymi potrzebami, zgodnie z ustawią z dnia 19 września 2019 r. </w:t>
      </w:r>
      <w:r w:rsidRPr="009978CF">
        <w:rPr>
          <w:rFonts w:eastAsia="Times New Roman" w:cs="Times New Roman"/>
          <w:sz w:val="24"/>
          <w:szCs w:val="24"/>
          <w:lang w:eastAsia="pl-PL"/>
        </w:rPr>
        <w:t xml:space="preserve"> o zapewnieniu dostępności </w:t>
      </w:r>
      <w:r w:rsidR="0035464B" w:rsidRPr="009978CF">
        <w:rPr>
          <w:rFonts w:eastAsia="Times New Roman" w:cs="Times New Roman"/>
          <w:sz w:val="24"/>
          <w:szCs w:val="24"/>
          <w:lang w:eastAsia="pl-PL"/>
        </w:rPr>
        <w:t>osobom ze szczególnymi potr</w:t>
      </w:r>
      <w:r w:rsidRPr="009978CF">
        <w:rPr>
          <w:rFonts w:eastAsia="Times New Roman" w:cs="Times New Roman"/>
          <w:sz w:val="24"/>
          <w:szCs w:val="24"/>
          <w:lang w:eastAsia="pl-PL"/>
        </w:rPr>
        <w:t>z</w:t>
      </w:r>
      <w:r w:rsidR="0035464B" w:rsidRPr="009978CF">
        <w:rPr>
          <w:rFonts w:eastAsia="Times New Roman" w:cs="Times New Roman"/>
          <w:sz w:val="24"/>
          <w:szCs w:val="24"/>
          <w:lang w:eastAsia="pl-PL"/>
        </w:rPr>
        <w:t>e</w:t>
      </w:r>
      <w:r w:rsidRPr="009978CF">
        <w:rPr>
          <w:rFonts w:eastAsia="Times New Roman" w:cs="Times New Roman"/>
          <w:sz w:val="24"/>
          <w:szCs w:val="24"/>
          <w:lang w:eastAsia="pl-PL"/>
        </w:rPr>
        <w:t>bami</w:t>
      </w:r>
      <w:r w:rsidR="0035464B" w:rsidRPr="009978CF">
        <w:rPr>
          <w:rFonts w:eastAsia="Times New Roman" w:cs="Times New Roman"/>
          <w:sz w:val="24"/>
          <w:szCs w:val="24"/>
          <w:lang w:eastAsia="pl-PL"/>
        </w:rPr>
        <w:t>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6. Sposób realizacji całej inwestycji (zastosowane standardy, technologie).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7. Przewidywane nakłady na realizację całej inwestycji.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8. Harmonogram realizacji inwestycji z podaniem zakresu prac realizowanych w</w:t>
      </w:r>
      <w:r w:rsidR="00B270B7" w:rsidRPr="009978CF">
        <w:rPr>
          <w:sz w:val="24"/>
          <w:szCs w:val="24"/>
        </w:rPr>
        <w:t xml:space="preserve"> </w:t>
      </w:r>
      <w:r w:rsidR="00491F10" w:rsidRPr="009978CF">
        <w:rPr>
          <w:rFonts w:cs="Arial"/>
          <w:sz w:val="24"/>
          <w:szCs w:val="24"/>
        </w:rPr>
        <w:t>poszczególnych etapach ( w rozbiciu na miesiące) oraz termin zakończenia</w:t>
      </w:r>
      <w:r w:rsidR="00997456">
        <w:rPr>
          <w:sz w:val="24"/>
          <w:szCs w:val="24"/>
        </w:rPr>
        <w:t xml:space="preserve"> </w:t>
      </w:r>
      <w:r w:rsidR="005E27F8" w:rsidRPr="009978CF">
        <w:rPr>
          <w:rFonts w:cs="Arial"/>
          <w:sz w:val="24"/>
          <w:szCs w:val="24"/>
        </w:rPr>
        <w:t>robót budowlanych</w:t>
      </w:r>
      <w:r w:rsidR="00491F10" w:rsidRPr="009978CF">
        <w:rPr>
          <w:rFonts w:cs="Arial"/>
          <w:sz w:val="24"/>
          <w:szCs w:val="24"/>
        </w:rPr>
        <w:t>.</w:t>
      </w:r>
      <w:r w:rsidR="009073EC" w:rsidRPr="009978CF">
        <w:rPr>
          <w:rFonts w:cs="Arial"/>
          <w:sz w:val="24"/>
          <w:szCs w:val="24"/>
        </w:rPr>
        <w:t xml:space="preserve"> 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9. Opis sposobu finansowania planowanej inwestycji</w:t>
      </w:r>
      <w:r w:rsidR="00412BD2" w:rsidRPr="009978CF">
        <w:rPr>
          <w:rFonts w:cs="Arial"/>
          <w:sz w:val="24"/>
          <w:szCs w:val="24"/>
        </w:rPr>
        <w:t>, w tym źródła finansowania.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10. Dokumenty stwierdzające wiarygodność finansową oferenta:</w:t>
      </w:r>
      <w:r w:rsidR="00491F10" w:rsidRPr="009978CF">
        <w:rPr>
          <w:sz w:val="24"/>
          <w:szCs w:val="24"/>
        </w:rPr>
        <w:br/>
      </w:r>
      <w:r w:rsidR="00EC0BAF" w:rsidRPr="009978CF">
        <w:rPr>
          <w:rFonts w:cs="Arial"/>
          <w:sz w:val="24"/>
          <w:szCs w:val="24"/>
        </w:rPr>
        <w:t>10.1</w:t>
      </w:r>
      <w:r w:rsidR="00491F10" w:rsidRPr="009978CF">
        <w:rPr>
          <w:rFonts w:cs="Arial"/>
          <w:sz w:val="24"/>
          <w:szCs w:val="24"/>
        </w:rPr>
        <w:t>. Informacje z banku prowadzącego rachunek oferenta o obrotach na rachunku firmy, zaciągniętych kredytach.</w:t>
      </w:r>
      <w:r w:rsidR="00491F10" w:rsidRPr="009978CF">
        <w:rPr>
          <w:sz w:val="24"/>
          <w:szCs w:val="24"/>
        </w:rPr>
        <w:br/>
      </w:r>
      <w:r w:rsidR="00EC0BAF" w:rsidRPr="009978CF">
        <w:rPr>
          <w:rFonts w:cs="Arial"/>
          <w:sz w:val="24"/>
          <w:szCs w:val="24"/>
        </w:rPr>
        <w:t>10.2</w:t>
      </w:r>
      <w:r w:rsidR="00491F10" w:rsidRPr="009978CF">
        <w:rPr>
          <w:rFonts w:cs="Arial"/>
          <w:sz w:val="24"/>
          <w:szCs w:val="24"/>
        </w:rPr>
        <w:t>. Informacja o udzielonych przez</w:t>
      </w:r>
      <w:r w:rsidR="0072749B" w:rsidRPr="009978CF">
        <w:rPr>
          <w:rFonts w:cs="Arial"/>
          <w:sz w:val="24"/>
          <w:szCs w:val="24"/>
        </w:rPr>
        <w:t xml:space="preserve"> firmę poręczeniach majątkowych.</w:t>
      </w:r>
      <w:r w:rsidR="00491F10" w:rsidRPr="009978CF">
        <w:rPr>
          <w:sz w:val="24"/>
          <w:szCs w:val="24"/>
        </w:rPr>
        <w:br/>
      </w:r>
      <w:r w:rsidR="00EC0BAF" w:rsidRPr="009978CF">
        <w:rPr>
          <w:rFonts w:cs="Arial"/>
          <w:sz w:val="24"/>
          <w:szCs w:val="24"/>
        </w:rPr>
        <w:t>10.3</w:t>
      </w:r>
      <w:r w:rsidR="00491F10" w:rsidRPr="009978CF">
        <w:rPr>
          <w:rFonts w:cs="Arial"/>
          <w:sz w:val="24"/>
          <w:szCs w:val="24"/>
        </w:rPr>
        <w:t xml:space="preserve">. Zaświadczenie </w:t>
      </w:r>
      <w:r w:rsidR="005E27F8" w:rsidRPr="009978CF">
        <w:rPr>
          <w:rFonts w:cs="Arial"/>
          <w:sz w:val="24"/>
          <w:szCs w:val="24"/>
        </w:rPr>
        <w:t>z urzędu skarbowego</w:t>
      </w:r>
      <w:r w:rsidR="00491F10" w:rsidRPr="009978CF">
        <w:rPr>
          <w:rFonts w:cs="Arial"/>
          <w:sz w:val="24"/>
          <w:szCs w:val="24"/>
        </w:rPr>
        <w:t xml:space="preserve"> o braku zaległości podatkowych, wydane </w:t>
      </w:r>
      <w:r w:rsidR="00B270B7" w:rsidRPr="009978CF">
        <w:rPr>
          <w:sz w:val="24"/>
          <w:szCs w:val="24"/>
        </w:rPr>
        <w:t xml:space="preserve"> </w:t>
      </w:r>
      <w:r w:rsidR="00491F10" w:rsidRPr="009978CF">
        <w:rPr>
          <w:rFonts w:cs="Arial"/>
          <w:sz w:val="24"/>
          <w:szCs w:val="24"/>
        </w:rPr>
        <w:t xml:space="preserve">po dniu ogłoszenia przetargu albo dokument potwierdzający, </w:t>
      </w:r>
      <w:bookmarkStart w:id="0" w:name="_GoBack"/>
      <w:bookmarkEnd w:id="0"/>
      <w:r w:rsidR="00491F10" w:rsidRPr="009978CF">
        <w:rPr>
          <w:rFonts w:cs="Arial"/>
          <w:sz w:val="24"/>
          <w:szCs w:val="24"/>
        </w:rPr>
        <w:t>że oferent uzyskał zgodę na zwolnienie, odroczenie lub rozłoże</w:t>
      </w:r>
      <w:r w:rsidR="0072749B" w:rsidRPr="009978CF">
        <w:rPr>
          <w:rFonts w:cs="Arial"/>
          <w:sz w:val="24"/>
          <w:szCs w:val="24"/>
        </w:rPr>
        <w:t>nie na raty zaległych płatności.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>10.6 Zaświadczenie z Zakładu Ubezpieczeń Społecznych</w:t>
      </w:r>
      <w:r w:rsidR="005E27F8" w:rsidRPr="009978CF">
        <w:rPr>
          <w:rFonts w:cs="Arial"/>
          <w:sz w:val="24"/>
          <w:szCs w:val="24"/>
        </w:rPr>
        <w:t xml:space="preserve"> (lub KRUS)</w:t>
      </w:r>
      <w:r w:rsidR="00491F10" w:rsidRPr="009978CF">
        <w:rPr>
          <w:rFonts w:cs="Arial"/>
          <w:sz w:val="24"/>
          <w:szCs w:val="24"/>
        </w:rPr>
        <w:t xml:space="preserve"> o braku zaległości w </w:t>
      </w:r>
      <w:r w:rsidR="00B270B7" w:rsidRPr="009978CF">
        <w:rPr>
          <w:sz w:val="24"/>
          <w:szCs w:val="24"/>
        </w:rPr>
        <w:t xml:space="preserve"> </w:t>
      </w:r>
      <w:r w:rsidR="00491F10" w:rsidRPr="009978CF">
        <w:rPr>
          <w:rFonts w:cs="Arial"/>
          <w:sz w:val="24"/>
          <w:szCs w:val="24"/>
        </w:rPr>
        <w:t xml:space="preserve">uiszczaniu opłat i składek, wydane po dniu ogłoszenia przetargu albo dokument potwierdzający, że oferent uzyskał zgodę na zwolnienie, odroczenie lub </w:t>
      </w:r>
      <w:r w:rsidR="00B270B7" w:rsidRPr="009978CF">
        <w:rPr>
          <w:sz w:val="24"/>
          <w:szCs w:val="24"/>
        </w:rPr>
        <w:t xml:space="preserve"> </w:t>
      </w:r>
      <w:r w:rsidR="00491F10" w:rsidRPr="009978CF">
        <w:rPr>
          <w:rFonts w:cs="Arial"/>
          <w:sz w:val="24"/>
          <w:szCs w:val="24"/>
        </w:rPr>
        <w:t>rozłożenie na raty zaległych płatności.</w:t>
      </w:r>
      <w:r w:rsidR="00491F10" w:rsidRPr="009978CF">
        <w:rPr>
          <w:sz w:val="24"/>
          <w:szCs w:val="24"/>
        </w:rPr>
        <w:br/>
      </w:r>
      <w:r w:rsidR="00491F10" w:rsidRPr="009978CF">
        <w:rPr>
          <w:rFonts w:cs="Arial"/>
          <w:sz w:val="24"/>
          <w:szCs w:val="24"/>
        </w:rPr>
        <w:t xml:space="preserve">10.7 Zaświadczenie o </w:t>
      </w:r>
      <w:r w:rsidR="007E7E58" w:rsidRPr="009978CF">
        <w:rPr>
          <w:rFonts w:cs="Arial"/>
          <w:sz w:val="24"/>
          <w:szCs w:val="24"/>
        </w:rPr>
        <w:t xml:space="preserve">niezaleganiu w podatkach </w:t>
      </w:r>
      <w:r w:rsidR="00491F10" w:rsidRPr="009978CF">
        <w:rPr>
          <w:rFonts w:cs="Arial"/>
          <w:sz w:val="24"/>
          <w:szCs w:val="24"/>
        </w:rPr>
        <w:t xml:space="preserve">wobec Gminy </w:t>
      </w:r>
      <w:r w:rsidR="00B270B7" w:rsidRPr="009978CF">
        <w:rPr>
          <w:rFonts w:cs="Arial"/>
          <w:sz w:val="24"/>
          <w:szCs w:val="24"/>
        </w:rPr>
        <w:t>Olecko</w:t>
      </w:r>
      <w:r w:rsidR="00491F10" w:rsidRPr="009978CF">
        <w:rPr>
          <w:rFonts w:cs="Arial"/>
          <w:sz w:val="24"/>
          <w:szCs w:val="24"/>
        </w:rPr>
        <w:t>,</w:t>
      </w:r>
      <w:r w:rsidR="00B270B7" w:rsidRPr="009978CF">
        <w:rPr>
          <w:rFonts w:cs="Arial"/>
          <w:sz w:val="24"/>
          <w:szCs w:val="24"/>
        </w:rPr>
        <w:t xml:space="preserve"> </w:t>
      </w:r>
      <w:r w:rsidR="00491F10" w:rsidRPr="009978CF">
        <w:rPr>
          <w:rFonts w:cs="Arial"/>
          <w:sz w:val="24"/>
          <w:szCs w:val="24"/>
        </w:rPr>
        <w:t>wyda</w:t>
      </w:r>
      <w:r w:rsidR="007E7E58" w:rsidRPr="009978CF">
        <w:rPr>
          <w:rFonts w:cs="Arial"/>
          <w:sz w:val="24"/>
          <w:szCs w:val="24"/>
        </w:rPr>
        <w:t>ne po dniu ogłoszenia przetargu.</w:t>
      </w:r>
      <w:r w:rsidR="00491F10" w:rsidRPr="009978CF">
        <w:rPr>
          <w:rFonts w:cs="Arial"/>
          <w:sz w:val="24"/>
          <w:szCs w:val="24"/>
        </w:rPr>
        <w:t xml:space="preserve"> </w:t>
      </w:r>
    </w:p>
    <w:p w:rsidR="00491F10" w:rsidRPr="009978CF" w:rsidRDefault="00491F10" w:rsidP="00A117D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cs="Arial"/>
          <w:sz w:val="24"/>
          <w:szCs w:val="24"/>
        </w:rPr>
        <w:t>11. Oferowany miesięczny czynsz za dzierżawę nieruchomości netto wyższy od czynszu wywoławczego wyrażony w PLN.</w:t>
      </w:r>
      <w:r w:rsidRPr="009978CF">
        <w:rPr>
          <w:sz w:val="24"/>
          <w:szCs w:val="24"/>
        </w:rPr>
        <w:br/>
      </w:r>
      <w:r w:rsidRPr="009978CF">
        <w:rPr>
          <w:rFonts w:cs="Arial"/>
          <w:sz w:val="24"/>
          <w:szCs w:val="24"/>
        </w:rPr>
        <w:t xml:space="preserve">12. Dowód wniesienia wadium. Dowodem wniesienia wadium jest potwierdzenie </w:t>
      </w:r>
      <w:r w:rsidR="000942F2" w:rsidRPr="009978CF">
        <w:rPr>
          <w:rFonts w:cs="Arial"/>
          <w:sz w:val="24"/>
          <w:szCs w:val="24"/>
        </w:rPr>
        <w:t>wpłaty</w:t>
      </w:r>
      <w:r w:rsidRPr="009978CF">
        <w:rPr>
          <w:rFonts w:cs="Arial"/>
          <w:sz w:val="24"/>
          <w:szCs w:val="24"/>
        </w:rPr>
        <w:t>.</w:t>
      </w:r>
      <w:r w:rsidRPr="009978CF">
        <w:rPr>
          <w:sz w:val="24"/>
          <w:szCs w:val="24"/>
        </w:rPr>
        <w:br/>
      </w:r>
      <w:r w:rsidRPr="009978CF">
        <w:rPr>
          <w:rFonts w:cs="Arial"/>
          <w:sz w:val="24"/>
          <w:szCs w:val="24"/>
        </w:rPr>
        <w:t>13. Oświadczenie, że oferent zapoznał się z warunkami przetargu i przyjmuje te warunki bez zastrzeżeń.</w:t>
      </w:r>
      <w:r w:rsidRPr="009978CF">
        <w:rPr>
          <w:sz w:val="24"/>
          <w:szCs w:val="24"/>
        </w:rPr>
        <w:br/>
      </w:r>
      <w:r w:rsidRPr="009978CF">
        <w:rPr>
          <w:rFonts w:cs="Arial"/>
          <w:sz w:val="24"/>
          <w:szCs w:val="24"/>
        </w:rPr>
        <w:t xml:space="preserve">14. Oświadczenie o zapoznaniu się z treścią </w:t>
      </w:r>
      <w:r w:rsidR="00170ED0" w:rsidRPr="009978CF">
        <w:rPr>
          <w:rFonts w:cs="Arial"/>
          <w:sz w:val="24"/>
          <w:szCs w:val="24"/>
        </w:rPr>
        <w:t xml:space="preserve">projektu </w:t>
      </w:r>
      <w:r w:rsidRPr="009978CF">
        <w:rPr>
          <w:rFonts w:cs="Arial"/>
          <w:sz w:val="24"/>
          <w:szCs w:val="24"/>
        </w:rPr>
        <w:t>umowy dzierżawy i gotowości do jej podpisania z Gminą w przypadku wygrania przetargu.</w:t>
      </w:r>
      <w:r w:rsidRPr="009978CF">
        <w:rPr>
          <w:sz w:val="24"/>
          <w:szCs w:val="24"/>
        </w:rPr>
        <w:br/>
      </w:r>
      <w:r w:rsidRPr="009978CF">
        <w:rPr>
          <w:rFonts w:cs="Arial"/>
          <w:sz w:val="24"/>
          <w:szCs w:val="24"/>
        </w:rPr>
        <w:t>15. Podpis oferenta</w:t>
      </w:r>
      <w:r w:rsidRPr="009978CF">
        <w:rPr>
          <w:sz w:val="24"/>
          <w:szCs w:val="24"/>
        </w:rPr>
        <w:t> </w:t>
      </w:r>
    </w:p>
    <w:p w:rsidR="00212EFE" w:rsidRPr="009978CF" w:rsidRDefault="005C7639" w:rsidP="007C46AF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978CF">
        <w:rPr>
          <w:rFonts w:asciiTheme="minorHAnsi" w:hAnsiTheme="minorHAnsi"/>
        </w:rPr>
        <w:t> </w:t>
      </w:r>
    </w:p>
    <w:p w:rsidR="00212EFE" w:rsidRPr="009978CF" w:rsidRDefault="00212EFE" w:rsidP="00212E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Komisja przetargowa odmawia zakwalifikowania oferty do przetargu, jeżeli :</w:t>
      </w:r>
    </w:p>
    <w:p w:rsidR="00212EFE" w:rsidRPr="009978CF" w:rsidRDefault="00212EFE" w:rsidP="00212E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a) oferta nie odpowiada warunkom przetargu,</w:t>
      </w:r>
    </w:p>
    <w:p w:rsidR="00212EFE" w:rsidRPr="009978CF" w:rsidRDefault="00212EFE" w:rsidP="00212E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b) została złożona po wyznaczonym terminie,</w:t>
      </w:r>
    </w:p>
    <w:p w:rsidR="00212EFE" w:rsidRPr="009978CF" w:rsidRDefault="00212EFE" w:rsidP="00212E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c) jest nieczytelna lub budzi wątpliwości co do jej treści (z przeróbkami lub skreśleniami),</w:t>
      </w:r>
    </w:p>
    <w:p w:rsidR="00212EFE" w:rsidRPr="009978CF" w:rsidRDefault="00212EFE" w:rsidP="007C46AF">
      <w:pPr>
        <w:pStyle w:val="NormalnyWeb"/>
        <w:spacing w:before="0" w:beforeAutospacing="0" w:after="0" w:afterAutospacing="0"/>
        <w:rPr>
          <w:rFonts w:asciiTheme="minorHAnsi" w:hAnsiTheme="minorHAnsi"/>
        </w:rPr>
      </w:pPr>
    </w:p>
    <w:p w:rsidR="00212EFE" w:rsidRPr="009978CF" w:rsidRDefault="00212EFE" w:rsidP="00212EFE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9978CF">
        <w:rPr>
          <w:rFonts w:asciiTheme="minorHAnsi" w:hAnsiTheme="minorHAnsi"/>
        </w:rPr>
        <w:t>Oferty niespełniające wymogów formalnych, tj.: niezawierające wszystkich wymienionych w ogłoszeniu jako obligatoryjne dokumentów, zaświadczeń i informacji, złożone po terminie, z wpłatą wadium po terminie, itp. nie zostaną zakwalifikowane (dopuszczone) do przetargu.</w:t>
      </w:r>
    </w:p>
    <w:p w:rsidR="005569E1" w:rsidRPr="009978CF" w:rsidRDefault="005569E1" w:rsidP="007C46AF">
      <w:pPr>
        <w:spacing w:after="0"/>
        <w:ind w:right="-284"/>
        <w:rPr>
          <w:rFonts w:cs="Times New Roman"/>
          <w:b/>
          <w:sz w:val="24"/>
          <w:szCs w:val="24"/>
        </w:rPr>
      </w:pPr>
    </w:p>
    <w:p w:rsidR="004735FD" w:rsidRPr="009978CF" w:rsidRDefault="004735FD" w:rsidP="007C46A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lastRenderedPageBreak/>
        <w:t>Oferty będą oceniane wg podanych niżej kryteriów. Każdemu z kryteriów przypisana jest punktowa skala ocen tzw. waga. Ocena łączna</w:t>
      </w:r>
      <w:r w:rsidR="00B20688" w:rsidRPr="009978CF">
        <w:rPr>
          <w:rFonts w:eastAsia="Times New Roman" w:cs="Times New Roman"/>
          <w:sz w:val="24"/>
          <w:szCs w:val="24"/>
          <w:lang w:eastAsia="pl-PL"/>
        </w:rPr>
        <w:t xml:space="preserve"> będzie</w:t>
      </w:r>
      <w:r w:rsidRPr="009978CF">
        <w:rPr>
          <w:rFonts w:eastAsia="Times New Roman" w:cs="Times New Roman"/>
          <w:sz w:val="24"/>
          <w:szCs w:val="24"/>
          <w:lang w:eastAsia="pl-PL"/>
        </w:rPr>
        <w:t xml:space="preserve"> sumą iloczynów punktów wszystkich kryteriów.</w:t>
      </w:r>
      <w:r w:rsidR="005E27F8" w:rsidRPr="009978CF">
        <w:rPr>
          <w:rFonts w:eastAsia="Times New Roman" w:cs="Times New Roman"/>
          <w:sz w:val="24"/>
          <w:szCs w:val="24"/>
          <w:lang w:eastAsia="pl-PL"/>
        </w:rPr>
        <w:t xml:space="preserve"> Punktacja </w:t>
      </w:r>
      <w:r w:rsidR="006E27C2">
        <w:rPr>
          <w:rFonts w:eastAsia="Times New Roman" w:cs="Times New Roman"/>
          <w:sz w:val="24"/>
          <w:szCs w:val="24"/>
          <w:lang w:eastAsia="pl-PL"/>
        </w:rPr>
        <w:br/>
      </w:r>
      <w:r w:rsidR="005E27F8" w:rsidRPr="009978CF">
        <w:rPr>
          <w:rFonts w:eastAsia="Times New Roman" w:cs="Times New Roman"/>
          <w:sz w:val="24"/>
          <w:szCs w:val="24"/>
          <w:lang w:eastAsia="pl-PL"/>
        </w:rPr>
        <w:t>w każdym kryterium będzie zaokrąglana do dwóch miejsc po przecinku</w:t>
      </w:r>
      <w:r w:rsidR="00212EFE" w:rsidRPr="009978CF">
        <w:rPr>
          <w:rFonts w:eastAsia="Times New Roman" w:cs="Times New Roman"/>
          <w:sz w:val="24"/>
          <w:szCs w:val="24"/>
          <w:lang w:eastAsia="pl-PL"/>
        </w:rPr>
        <w:t>.</w:t>
      </w:r>
      <w:r w:rsidR="005E27F8" w:rsidRPr="009978C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1845"/>
      </w:tblGrid>
      <w:tr w:rsidR="00054FEF" w:rsidRPr="009978CF" w:rsidTr="004735FD">
        <w:trPr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7C46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Kryterium oceny oferty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7C46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Skala  ocen</w:t>
            </w:r>
          </w:p>
        </w:tc>
      </w:tr>
      <w:tr w:rsidR="00054FEF" w:rsidRPr="009978CF" w:rsidTr="002C75AE">
        <w:trPr>
          <w:trHeight w:val="621"/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7C46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Proponowana wysokość czynszu (ilość punktów będzie obliczana według wzoru: czynsz ocenianej oferty/najwyższy zaoferowany czynsz) x 50 pkt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2C75A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BD2" w:rsidRPr="009978CF" w:rsidRDefault="00412BD2" w:rsidP="002C75A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0-50 pkt</w:t>
            </w:r>
          </w:p>
        </w:tc>
      </w:tr>
      <w:tr w:rsidR="00054FEF" w:rsidRPr="009978CF" w:rsidTr="004735FD">
        <w:trPr>
          <w:trHeight w:val="645"/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7C46A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Graficzna i opisowa koncepcja zagospodarowania  terenu. Sposób realizacji inwestycji (zastosowane standardy, technologie) x 20 pkt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2C75A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12BD2" w:rsidRPr="009978CF" w:rsidRDefault="00412BD2" w:rsidP="002C75A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0-20 pkt</w:t>
            </w:r>
          </w:p>
        </w:tc>
      </w:tr>
      <w:tr w:rsidR="00054FEF" w:rsidRPr="009978CF" w:rsidTr="004735FD">
        <w:trPr>
          <w:trHeight w:val="345"/>
          <w:tblCellSpacing w:w="0" w:type="dxa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F10F6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Termin zakończenia inwestycji (ilość punktów będzie obliczana według wzoru: termin zakończenia ocenianej oferty/najkrótszy czas zakończenia inwestycji ) x 30 pkt</w:t>
            </w:r>
          </w:p>
          <w:p w:rsidR="00412BD2" w:rsidRPr="009978CF" w:rsidRDefault="00412BD2" w:rsidP="00F10F6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(dla potrzeb oceny Wydzierżawiający obliczy </w:t>
            </w:r>
            <w:r w:rsidR="00054FEF"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ilość dni</w:t>
            </w:r>
            <w:r w:rsidR="00E5392D"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pomiędzy dniem upływu terminu składania ofert a wskazaną datą zakończenia inwestycji)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BD2" w:rsidRPr="009978CF" w:rsidRDefault="00412BD2" w:rsidP="002C75A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78CF">
              <w:rPr>
                <w:rFonts w:eastAsia="Times New Roman" w:cs="Times New Roman"/>
                <w:sz w:val="24"/>
                <w:szCs w:val="24"/>
                <w:lang w:eastAsia="pl-PL"/>
              </w:rPr>
              <w:t>0-30 pkt</w:t>
            </w:r>
          </w:p>
        </w:tc>
      </w:tr>
    </w:tbl>
    <w:p w:rsidR="006A47A0" w:rsidRPr="009978CF" w:rsidRDefault="006A47A0" w:rsidP="007C46AF">
      <w:pPr>
        <w:spacing w:after="0"/>
        <w:ind w:left="-142" w:right="-284"/>
        <w:rPr>
          <w:rFonts w:cs="Times New Roman"/>
          <w:b/>
          <w:sz w:val="24"/>
          <w:szCs w:val="24"/>
          <w:u w:val="single"/>
        </w:rPr>
      </w:pPr>
    </w:p>
    <w:p w:rsidR="00091080" w:rsidRPr="009978CF" w:rsidRDefault="00091080" w:rsidP="00091080">
      <w:pPr>
        <w:spacing w:after="0" w:line="240" w:lineRule="auto"/>
        <w:ind w:right="-284"/>
        <w:rPr>
          <w:sz w:val="24"/>
          <w:szCs w:val="24"/>
        </w:rPr>
      </w:pP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978CF">
        <w:rPr>
          <w:rFonts w:eastAsia="Times New Roman" w:cs="Times New Roman"/>
          <w:b/>
          <w:sz w:val="24"/>
          <w:szCs w:val="24"/>
          <w:u w:val="single"/>
          <w:lang w:eastAsia="pl-PL"/>
        </w:rPr>
        <w:t>Komisja przetargowa rozpatruje złożone oferty w dwóch etapach: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Pr="009978CF">
        <w:rPr>
          <w:rFonts w:eastAsia="Times New Roman" w:cs="Times New Roman"/>
          <w:b/>
          <w:sz w:val="24"/>
          <w:szCs w:val="24"/>
          <w:lang w:eastAsia="pl-PL"/>
        </w:rPr>
        <w:t>w pierwszej - części jawnej: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  stwierdza prawidłowość ogłoszenia przetargu,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  ustala i podaje liczbę otrzymanych ofert oraz sprawdza dowody wniesienia wadium,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 otwiera koperty z ofertami oraz sprawdza kompletność złożonych ofert oraz tożsamość osób, które złożyły oferty,</w:t>
      </w:r>
    </w:p>
    <w:p w:rsidR="00EC0BAF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 xml:space="preserve">- przyjmuje wyjaśnienia lub oświadczenia zgłaszane przez oferentów; możliwe jest uzupełnienie oferty o oświadczenia, 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 weryfikuje oferty i ogłasza, które oferty zostały zakwalifikowane do części niejawnej przetargu,</w:t>
      </w:r>
    </w:p>
    <w:p w:rsidR="00091080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 zawiadamia oferentów o przewidywany</w:t>
      </w:r>
      <w:r w:rsidR="003556EA" w:rsidRPr="009978CF">
        <w:rPr>
          <w:rFonts w:eastAsia="Times New Roman" w:cs="Times New Roman"/>
          <w:sz w:val="24"/>
          <w:szCs w:val="24"/>
          <w:lang w:eastAsia="pl-PL"/>
        </w:rPr>
        <w:t>m terminie zamknięcia przetargu.</w:t>
      </w:r>
    </w:p>
    <w:p w:rsidR="006E27C2" w:rsidRPr="009978CF" w:rsidRDefault="006E27C2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91080" w:rsidRPr="009978CF" w:rsidRDefault="00091080" w:rsidP="00091080">
      <w:pPr>
        <w:spacing w:after="0" w:line="240" w:lineRule="auto"/>
        <w:rPr>
          <w:b/>
          <w:sz w:val="24"/>
          <w:szCs w:val="24"/>
        </w:rPr>
      </w:pPr>
      <w:r w:rsidRPr="009978CF">
        <w:rPr>
          <w:b/>
          <w:sz w:val="24"/>
          <w:szCs w:val="24"/>
        </w:rPr>
        <w:t xml:space="preserve">Otwarcie ofert oraz ich formalna weryfikacja odbędzie się w dniu </w:t>
      </w:r>
      <w:r w:rsidR="005872CD" w:rsidRPr="009978CF">
        <w:rPr>
          <w:b/>
          <w:sz w:val="24"/>
          <w:szCs w:val="24"/>
        </w:rPr>
        <w:t>14</w:t>
      </w:r>
      <w:r w:rsidR="00335885" w:rsidRPr="009978CF">
        <w:rPr>
          <w:b/>
          <w:sz w:val="24"/>
          <w:szCs w:val="24"/>
        </w:rPr>
        <w:t xml:space="preserve"> grudnia</w:t>
      </w:r>
      <w:r w:rsidRPr="009978CF">
        <w:rPr>
          <w:b/>
          <w:sz w:val="24"/>
          <w:szCs w:val="24"/>
        </w:rPr>
        <w:t xml:space="preserve"> 2021 r. o godz. </w:t>
      </w:r>
      <w:r w:rsidR="00335885" w:rsidRPr="009978CF">
        <w:rPr>
          <w:b/>
          <w:sz w:val="24"/>
          <w:szCs w:val="24"/>
        </w:rPr>
        <w:t xml:space="preserve">10:00 </w:t>
      </w:r>
      <w:r w:rsidRPr="009978CF">
        <w:rPr>
          <w:b/>
          <w:sz w:val="24"/>
          <w:szCs w:val="24"/>
        </w:rPr>
        <w:t xml:space="preserve"> </w:t>
      </w:r>
      <w:r w:rsidR="006E27C2">
        <w:rPr>
          <w:b/>
          <w:sz w:val="24"/>
          <w:szCs w:val="24"/>
        </w:rPr>
        <w:br/>
      </w:r>
      <w:r w:rsidRPr="009978CF">
        <w:rPr>
          <w:b/>
          <w:sz w:val="24"/>
          <w:szCs w:val="24"/>
        </w:rPr>
        <w:t>w Urzędzie Miejski</w:t>
      </w:r>
      <w:r w:rsidR="0057449D" w:rsidRPr="009978CF">
        <w:rPr>
          <w:b/>
          <w:sz w:val="24"/>
          <w:szCs w:val="24"/>
        </w:rPr>
        <w:t xml:space="preserve">m  w Olecku, Plac  Wolności 3, </w:t>
      </w:r>
      <w:r w:rsidRPr="009978CF">
        <w:rPr>
          <w:b/>
          <w:sz w:val="24"/>
          <w:szCs w:val="24"/>
        </w:rPr>
        <w:t xml:space="preserve"> </w:t>
      </w:r>
      <w:r w:rsidR="00335885" w:rsidRPr="009978CF">
        <w:rPr>
          <w:b/>
          <w:sz w:val="24"/>
          <w:szCs w:val="24"/>
        </w:rPr>
        <w:br/>
      </w:r>
      <w:r w:rsidRPr="009978CF">
        <w:rPr>
          <w:b/>
          <w:sz w:val="24"/>
          <w:szCs w:val="24"/>
        </w:rPr>
        <w:t xml:space="preserve">sala 32. </w:t>
      </w:r>
    </w:p>
    <w:p w:rsidR="005F3F44" w:rsidRPr="009978CF" w:rsidRDefault="005F3F44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 b)  </w:t>
      </w:r>
      <w:r w:rsidRPr="009978CF">
        <w:rPr>
          <w:rFonts w:eastAsia="Times New Roman" w:cs="Times New Roman"/>
          <w:b/>
          <w:sz w:val="24"/>
          <w:szCs w:val="24"/>
          <w:lang w:eastAsia="pl-PL"/>
        </w:rPr>
        <w:t>w drugiej - części niejawnej:</w:t>
      </w:r>
    </w:p>
    <w:p w:rsidR="00D43D26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- dokonuje szczegółowej analizy ofert oraz wybiera najkorzystniejszą z nich lub stwierdza, że nie wy</w:t>
      </w:r>
      <w:r w:rsidR="003556EA" w:rsidRPr="009978CF">
        <w:rPr>
          <w:rFonts w:eastAsia="Times New Roman" w:cs="Times New Roman"/>
          <w:sz w:val="24"/>
          <w:szCs w:val="24"/>
          <w:lang w:eastAsia="pl-PL"/>
        </w:rPr>
        <w:t>biera żadnej ze złożonych ofert.</w:t>
      </w:r>
    </w:p>
    <w:p w:rsidR="003556EA" w:rsidRPr="009978CF" w:rsidRDefault="003556EA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Komisja przetargowa dokonuje analizy i oceny ofert w ramach części niejawnej przetargu w terminie nie dłuższym niż 14 dni od daty otwarcia ofert.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W przypadku uzyskania przez dwie lub więcej ofert równej liczby punktów  Komisja przetargowa orga</w:t>
      </w:r>
      <w:r w:rsidR="006522BC" w:rsidRPr="009978CF">
        <w:rPr>
          <w:rFonts w:eastAsia="Times New Roman" w:cs="Times New Roman"/>
          <w:sz w:val="24"/>
          <w:szCs w:val="24"/>
          <w:lang w:eastAsia="pl-PL"/>
        </w:rPr>
        <w:t xml:space="preserve">nizuje dodatkowy przetarg ustny </w:t>
      </w:r>
      <w:r w:rsidRPr="009978CF">
        <w:rPr>
          <w:rFonts w:eastAsia="Times New Roman" w:cs="Times New Roman"/>
          <w:sz w:val="24"/>
          <w:szCs w:val="24"/>
          <w:lang w:eastAsia="pl-PL"/>
        </w:rPr>
        <w:t>ograniczony do oferentów, którzy złożyli te oferty.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Postępowanie prowadzone przez komisję przetargową kończy protokół wskazujący propozycję wybranej oferty lub stwierdzający niedokonanie wyboru ze wskazaniem przyczyn.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Protokół o wyborze oferenta, zatwierdzony przez Burmistrza Olecka stanowi podstawę do zawarcia umowy dzierżawy nieruchomości. Niezatwierdzenie protokołu przez Burmistrza Olecka jest równoznaczne w skutkach z zamknięciem przetargu bez wyboru którejkolwiek z ofert.</w:t>
      </w:r>
    </w:p>
    <w:p w:rsidR="00091080" w:rsidRPr="009978CF" w:rsidRDefault="00091080" w:rsidP="0009108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978CF">
        <w:rPr>
          <w:rFonts w:eastAsia="Times New Roman" w:cs="Times New Roman"/>
          <w:sz w:val="24"/>
          <w:szCs w:val="24"/>
          <w:lang w:eastAsia="pl-PL"/>
        </w:rPr>
        <w:t>Zastrzega się, że oferent nie będzie zgłaszał wobec Gminy Olecko jakichkolwiek roszczeń związanych z opracowaniem i złożeniem oferty. Oferta jest opracowywana na wyłączny koszt oferenta,  złożenie przez oferenta oferty w ramach przetargu potwierdza przyjęcie przez oferenta tych warunków.</w:t>
      </w:r>
    </w:p>
    <w:p w:rsidR="004735FD" w:rsidRPr="009978CF" w:rsidRDefault="004735FD" w:rsidP="007C46AF">
      <w:pPr>
        <w:spacing w:after="0"/>
        <w:ind w:right="-284"/>
        <w:rPr>
          <w:rFonts w:cs="Times New Roman"/>
          <w:b/>
          <w:sz w:val="24"/>
          <w:szCs w:val="24"/>
          <w:u w:val="single"/>
        </w:rPr>
      </w:pPr>
    </w:p>
    <w:p w:rsidR="004735FD" w:rsidRDefault="004735FD" w:rsidP="007C46AF">
      <w:pPr>
        <w:spacing w:after="0"/>
        <w:ind w:left="-142" w:right="-284"/>
        <w:rPr>
          <w:rFonts w:cs="Times New Roman"/>
          <w:b/>
          <w:sz w:val="24"/>
          <w:szCs w:val="24"/>
          <w:u w:val="single"/>
        </w:rPr>
      </w:pPr>
    </w:p>
    <w:p w:rsidR="006E27C2" w:rsidRPr="009978CF" w:rsidRDefault="006E27C2" w:rsidP="007C46AF">
      <w:pPr>
        <w:spacing w:after="0"/>
        <w:ind w:left="-142" w:right="-284"/>
        <w:rPr>
          <w:rFonts w:cs="Times New Roman"/>
          <w:b/>
          <w:sz w:val="24"/>
          <w:szCs w:val="24"/>
          <w:u w:val="single"/>
        </w:rPr>
      </w:pPr>
    </w:p>
    <w:p w:rsidR="000A1554" w:rsidRPr="009978CF" w:rsidRDefault="000A1554" w:rsidP="007C46AF">
      <w:pPr>
        <w:spacing w:after="0"/>
        <w:ind w:left="-142" w:right="-284"/>
        <w:rPr>
          <w:rFonts w:cs="Times New Roman"/>
          <w:sz w:val="24"/>
          <w:szCs w:val="24"/>
          <w:u w:val="single"/>
        </w:rPr>
      </w:pPr>
      <w:r w:rsidRPr="009978CF">
        <w:rPr>
          <w:rFonts w:cs="Times New Roman"/>
          <w:sz w:val="24"/>
          <w:szCs w:val="24"/>
          <w:u w:val="single"/>
        </w:rPr>
        <w:lastRenderedPageBreak/>
        <w:t>Informacje dodatkowe:</w:t>
      </w:r>
    </w:p>
    <w:p w:rsidR="004A7C54" w:rsidRPr="009978CF" w:rsidRDefault="00CE1547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b/>
          <w:sz w:val="24"/>
          <w:szCs w:val="24"/>
          <w:u w:val="single"/>
        </w:rPr>
      </w:pPr>
      <w:r w:rsidRPr="009978CF">
        <w:rPr>
          <w:rFonts w:cs="Times New Roman"/>
          <w:sz w:val="24"/>
          <w:szCs w:val="24"/>
        </w:rPr>
        <w:t>Burmistrzowi Olecka przysługuje prawo zamknięcia przetargu bez wybrania żadnej z ofert</w:t>
      </w:r>
      <w:r w:rsidR="00FE65FD" w:rsidRPr="009978CF">
        <w:rPr>
          <w:rFonts w:cs="Times New Roman"/>
          <w:sz w:val="24"/>
          <w:szCs w:val="24"/>
        </w:rPr>
        <w:t>.</w:t>
      </w:r>
    </w:p>
    <w:p w:rsidR="00E317B3" w:rsidRPr="009978CF" w:rsidRDefault="003F3EB7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Pisemne z</w:t>
      </w:r>
      <w:r w:rsidR="00801447" w:rsidRPr="009978CF">
        <w:rPr>
          <w:rFonts w:cs="Times New Roman"/>
          <w:sz w:val="24"/>
          <w:szCs w:val="24"/>
        </w:rPr>
        <w:t>awiadomienie o wyniku przetargu zostanie wysłane do wszystkich</w:t>
      </w:r>
      <w:r w:rsidRPr="009978CF">
        <w:rPr>
          <w:rFonts w:cs="Times New Roman"/>
          <w:sz w:val="24"/>
          <w:szCs w:val="24"/>
        </w:rPr>
        <w:t xml:space="preserve"> oferentów </w:t>
      </w:r>
      <w:r w:rsidR="00801447" w:rsidRPr="009978CF">
        <w:rPr>
          <w:rFonts w:cs="Times New Roman"/>
          <w:sz w:val="24"/>
          <w:szCs w:val="24"/>
        </w:rPr>
        <w:t>w terminie nie dłuższym niż 3 dni od  dnia zamknięcia przetargu</w:t>
      </w:r>
      <w:r w:rsidRPr="009978CF">
        <w:rPr>
          <w:rFonts w:cs="Times New Roman"/>
          <w:sz w:val="24"/>
          <w:szCs w:val="24"/>
        </w:rPr>
        <w:t>.</w:t>
      </w:r>
      <w:r w:rsidR="00E317B3" w:rsidRPr="009978CF">
        <w:rPr>
          <w:rFonts w:cs="Times New Roman"/>
          <w:sz w:val="24"/>
          <w:szCs w:val="24"/>
        </w:rPr>
        <w:t xml:space="preserve"> </w:t>
      </w:r>
    </w:p>
    <w:p w:rsidR="00C25BDD" w:rsidRPr="009978CF" w:rsidRDefault="00C25BDD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Wadium, wpłacone przez</w:t>
      </w:r>
      <w:r w:rsidR="004A7C54" w:rsidRPr="009978CF">
        <w:rPr>
          <w:rFonts w:cs="Times New Roman"/>
          <w:sz w:val="24"/>
          <w:szCs w:val="24"/>
        </w:rPr>
        <w:t xml:space="preserve"> oferenta, który wygra przetarg</w:t>
      </w:r>
      <w:r w:rsidR="00C0229D" w:rsidRPr="009978CF">
        <w:rPr>
          <w:rFonts w:cs="Times New Roman"/>
          <w:sz w:val="24"/>
          <w:szCs w:val="24"/>
        </w:rPr>
        <w:t xml:space="preserve">  </w:t>
      </w:r>
      <w:r w:rsidRPr="009978CF">
        <w:rPr>
          <w:rFonts w:cs="Times New Roman"/>
          <w:sz w:val="24"/>
          <w:szCs w:val="24"/>
        </w:rPr>
        <w:t>zostanie zaliczone na poczet czynszu dzierżawnego, a w przypadku uchylenia</w:t>
      </w:r>
      <w:r w:rsidR="0050047E" w:rsidRPr="009978CF">
        <w:rPr>
          <w:rFonts w:cs="Times New Roman"/>
          <w:sz w:val="24"/>
          <w:szCs w:val="24"/>
        </w:rPr>
        <w:t xml:space="preserve"> </w:t>
      </w:r>
      <w:r w:rsidRPr="009978CF">
        <w:rPr>
          <w:rFonts w:cs="Times New Roman"/>
          <w:sz w:val="24"/>
          <w:szCs w:val="24"/>
        </w:rPr>
        <w:t>się tego oferenta od zawarcia umowy dzierżawy, wadium ulegnie przepadkowi na rzecz Gminy Olecko.</w:t>
      </w:r>
    </w:p>
    <w:p w:rsidR="00E317B3" w:rsidRPr="009978CF" w:rsidRDefault="00E317B3" w:rsidP="007C46A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Zwrot wadium w przypadku nie wygrania przetargu nastąpi nie później niż przed upływem 3 dni od dnia zamknięcia przetargu, na konto wskazane przez uczestnika przetargu.</w:t>
      </w:r>
    </w:p>
    <w:p w:rsidR="00AF050B" w:rsidRPr="009978CF" w:rsidRDefault="00AF050B" w:rsidP="007C46A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 xml:space="preserve">Umowę dzierżawy należy podpisać w terminie wyznaczonym pisemnie przez Wydzierżawiającego, jednak nie </w:t>
      </w:r>
      <w:r w:rsidR="003F1196" w:rsidRPr="009978CF">
        <w:rPr>
          <w:rFonts w:cs="Times New Roman"/>
          <w:sz w:val="24"/>
          <w:szCs w:val="24"/>
        </w:rPr>
        <w:t>później</w:t>
      </w:r>
      <w:r w:rsidRPr="009978CF">
        <w:rPr>
          <w:rFonts w:cs="Times New Roman"/>
          <w:sz w:val="24"/>
          <w:szCs w:val="24"/>
        </w:rPr>
        <w:t xml:space="preserve"> niż w terminie 30 dni od daty </w:t>
      </w:r>
      <w:r w:rsidR="00DF0AFA" w:rsidRPr="009978CF">
        <w:rPr>
          <w:rFonts w:cs="Times New Roman"/>
          <w:sz w:val="24"/>
          <w:szCs w:val="24"/>
        </w:rPr>
        <w:t>rozstrzygnięcia</w:t>
      </w:r>
      <w:r w:rsidRPr="009978CF">
        <w:rPr>
          <w:rFonts w:cs="Times New Roman"/>
          <w:sz w:val="24"/>
          <w:szCs w:val="24"/>
        </w:rPr>
        <w:t xml:space="preserve"> przetargu, pod rygorem odstąpienia przez organizatora przetargu</w:t>
      </w:r>
      <w:r w:rsidR="00DF0AFA" w:rsidRPr="009978CF">
        <w:rPr>
          <w:rFonts w:cs="Times New Roman"/>
          <w:sz w:val="24"/>
          <w:szCs w:val="24"/>
        </w:rPr>
        <w:t xml:space="preserve"> od</w:t>
      </w:r>
      <w:r w:rsidR="00B20688" w:rsidRPr="009978CF">
        <w:rPr>
          <w:rFonts w:cs="Times New Roman"/>
          <w:sz w:val="24"/>
          <w:szCs w:val="24"/>
        </w:rPr>
        <w:t xml:space="preserve"> zawarcia umowy dzierżawy oraz </w:t>
      </w:r>
      <w:r w:rsidR="00DF0AFA" w:rsidRPr="009978CF">
        <w:rPr>
          <w:rFonts w:cs="Times New Roman"/>
          <w:sz w:val="24"/>
          <w:szCs w:val="24"/>
        </w:rPr>
        <w:t xml:space="preserve"> przepadku wpłaconego wadium na rzecz Gminy Olecko.</w:t>
      </w:r>
      <w:r w:rsidRPr="009978CF">
        <w:rPr>
          <w:rFonts w:cs="Times New Roman"/>
          <w:sz w:val="24"/>
          <w:szCs w:val="24"/>
        </w:rPr>
        <w:t xml:space="preserve">  </w:t>
      </w:r>
    </w:p>
    <w:p w:rsidR="000942F2" w:rsidRPr="009978CF" w:rsidRDefault="002C75AE" w:rsidP="007C46AF">
      <w:pPr>
        <w:pStyle w:val="Akapitzlist"/>
        <w:numPr>
          <w:ilvl w:val="0"/>
          <w:numId w:val="9"/>
        </w:numPr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Cenę wywoławczą</w:t>
      </w:r>
      <w:r w:rsidR="000942F2" w:rsidRPr="009978CF">
        <w:rPr>
          <w:rFonts w:cs="Times New Roman"/>
          <w:sz w:val="24"/>
          <w:szCs w:val="24"/>
        </w:rPr>
        <w:t xml:space="preserve"> czynszu n</w:t>
      </w:r>
      <w:r w:rsidR="00B20688" w:rsidRPr="009978CF">
        <w:rPr>
          <w:rFonts w:cs="Times New Roman"/>
          <w:sz w:val="24"/>
          <w:szCs w:val="24"/>
        </w:rPr>
        <w:t xml:space="preserve">etto za dzierżawę gruntu określono zgodnie z </w:t>
      </w:r>
      <w:r w:rsidR="000942F2" w:rsidRPr="009978CF">
        <w:rPr>
          <w:rFonts w:cs="Times New Roman"/>
          <w:sz w:val="24"/>
          <w:szCs w:val="24"/>
        </w:rPr>
        <w:t xml:space="preserve"> </w:t>
      </w:r>
      <w:r w:rsidR="000942F2" w:rsidRPr="009978CF">
        <w:rPr>
          <w:bCs/>
          <w:sz w:val="24"/>
          <w:szCs w:val="24"/>
        </w:rPr>
        <w:t>§ 1 ust. 15 lit. a</w:t>
      </w:r>
      <w:r w:rsidR="000942F2" w:rsidRPr="009978CF">
        <w:rPr>
          <w:rFonts w:cs="Times New Roman"/>
          <w:sz w:val="24"/>
          <w:szCs w:val="24"/>
        </w:rPr>
        <w:t xml:space="preserve"> obowiązującego </w:t>
      </w:r>
      <w:r w:rsidR="007C03A5" w:rsidRPr="009978CF">
        <w:rPr>
          <w:bCs/>
          <w:sz w:val="24"/>
          <w:szCs w:val="24"/>
        </w:rPr>
        <w:t>z</w:t>
      </w:r>
      <w:r w:rsidR="00B20688" w:rsidRPr="009978CF">
        <w:rPr>
          <w:bCs/>
          <w:sz w:val="24"/>
          <w:szCs w:val="24"/>
        </w:rPr>
        <w:t>arządzenia Nr ORN.0050.171.2019</w:t>
      </w:r>
      <w:r w:rsidR="000942F2" w:rsidRPr="009978CF">
        <w:rPr>
          <w:bCs/>
          <w:sz w:val="24"/>
          <w:szCs w:val="24"/>
        </w:rPr>
        <w:t xml:space="preserve"> Burmistrza Olecka z dnia 20 grudnia 2019 r. </w:t>
      </w:r>
      <w:r w:rsidR="006E27C2">
        <w:rPr>
          <w:bCs/>
          <w:sz w:val="24"/>
          <w:szCs w:val="24"/>
        </w:rPr>
        <w:br/>
      </w:r>
      <w:r w:rsidR="000942F2" w:rsidRPr="009978CF">
        <w:rPr>
          <w:bCs/>
          <w:sz w:val="24"/>
          <w:szCs w:val="24"/>
        </w:rPr>
        <w:t>w sprawie wysokości minimalnych stawek umownego czynszu dzierżawnego nieruchomości gruntowej stanowiących własność Gminy Olecko.</w:t>
      </w:r>
    </w:p>
    <w:p w:rsidR="00E46663" w:rsidRPr="009978CF" w:rsidRDefault="004A7C54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Przetarg może być odwołany z ważnych powodów.</w:t>
      </w:r>
      <w:r w:rsidR="00CE1547" w:rsidRPr="009978CF">
        <w:rPr>
          <w:rFonts w:cs="Times New Roman"/>
          <w:sz w:val="24"/>
          <w:szCs w:val="24"/>
        </w:rPr>
        <w:t xml:space="preserve"> </w:t>
      </w:r>
    </w:p>
    <w:p w:rsidR="00E46663" w:rsidRPr="009978CF" w:rsidRDefault="00E46663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Zarządzenie Burmistrza Olecka w</w:t>
      </w:r>
      <w:r w:rsidRPr="009978CF">
        <w:rPr>
          <w:sz w:val="24"/>
          <w:szCs w:val="24"/>
        </w:rPr>
        <w:t xml:space="preserve"> sprawie Komisji Przetargowej powołanej do przeprowadzenia i rozstrzygnięcia niniejszego przetargu stanowi integralny element dokumentacji przetargowej określającej warunki przetargu</w:t>
      </w:r>
      <w:r w:rsidRPr="009978CF">
        <w:rPr>
          <w:rFonts w:cs="Times New Roman"/>
          <w:sz w:val="24"/>
          <w:szCs w:val="24"/>
        </w:rPr>
        <w:t>.</w:t>
      </w:r>
    </w:p>
    <w:p w:rsidR="00E46663" w:rsidRPr="009978CF" w:rsidRDefault="004A7C54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 xml:space="preserve">Ogłoszenie publikowane jest na tablicach ogłoszeń tut. Urzędu, </w:t>
      </w:r>
      <w:r w:rsidR="00B20688" w:rsidRPr="009978CF">
        <w:rPr>
          <w:rFonts w:cs="Times New Roman"/>
          <w:sz w:val="24"/>
          <w:szCs w:val="24"/>
        </w:rPr>
        <w:t xml:space="preserve">gminnej </w:t>
      </w:r>
      <w:r w:rsidRPr="009978CF">
        <w:rPr>
          <w:rFonts w:cs="Times New Roman"/>
          <w:sz w:val="24"/>
          <w:szCs w:val="24"/>
        </w:rPr>
        <w:t xml:space="preserve">stronie internetowej - </w:t>
      </w:r>
      <w:hyperlink r:id="rId9" w:history="1">
        <w:r w:rsidRPr="009978CF">
          <w:rPr>
            <w:rStyle w:val="Hipercze"/>
            <w:rFonts w:cs="Times New Roman"/>
            <w:color w:val="auto"/>
            <w:sz w:val="24"/>
            <w:szCs w:val="24"/>
          </w:rPr>
          <w:t>www.um.olecko.pl</w:t>
        </w:r>
      </w:hyperlink>
      <w:r w:rsidRPr="009978CF">
        <w:rPr>
          <w:rFonts w:cs="Times New Roman"/>
          <w:sz w:val="24"/>
          <w:szCs w:val="24"/>
        </w:rPr>
        <w:t xml:space="preserve"> oraz w Biuletynie Informacji Publicznej – </w:t>
      </w:r>
      <w:hyperlink r:id="rId10" w:history="1">
        <w:r w:rsidRPr="009978CF">
          <w:rPr>
            <w:rStyle w:val="Hipercze"/>
            <w:rFonts w:cs="Times New Roman"/>
            <w:color w:val="auto"/>
            <w:sz w:val="24"/>
            <w:szCs w:val="24"/>
          </w:rPr>
          <w:t>www.umolecko.bip.doc.pl</w:t>
        </w:r>
      </w:hyperlink>
      <w:r w:rsidR="000A315C" w:rsidRPr="009978CF">
        <w:rPr>
          <w:rStyle w:val="Hipercze"/>
          <w:rFonts w:cs="Times New Roman"/>
          <w:color w:val="auto"/>
          <w:sz w:val="24"/>
          <w:szCs w:val="24"/>
          <w:u w:val="none"/>
        </w:rPr>
        <w:t>.</w:t>
      </w:r>
      <w:r w:rsidRPr="009978CF">
        <w:rPr>
          <w:rFonts w:cs="Times New Roman"/>
          <w:sz w:val="24"/>
          <w:szCs w:val="24"/>
        </w:rPr>
        <w:t xml:space="preserve"> </w:t>
      </w:r>
    </w:p>
    <w:p w:rsidR="0033456A" w:rsidRPr="009978CF" w:rsidRDefault="004A7C54" w:rsidP="007C46AF">
      <w:pPr>
        <w:pStyle w:val="Akapitzlist"/>
        <w:numPr>
          <w:ilvl w:val="0"/>
          <w:numId w:val="9"/>
        </w:numPr>
        <w:spacing w:after="0"/>
        <w:ind w:right="-284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>Informacje o przetargu można uzyskać w Urzędzie Miejskim w Olecku - pokój nr 21, tel. 87 520 26 33.</w:t>
      </w:r>
    </w:p>
    <w:p w:rsidR="005C7639" w:rsidRPr="009978CF" w:rsidRDefault="005C7639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D43D26" w:rsidRPr="009978CF" w:rsidRDefault="00D43D26" w:rsidP="009D6F39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212A30" w:rsidRPr="009978CF" w:rsidRDefault="00602BE5" w:rsidP="0033456A">
      <w:pPr>
        <w:spacing w:line="240" w:lineRule="auto"/>
        <w:ind w:left="-142"/>
        <w:jc w:val="both"/>
        <w:rPr>
          <w:rFonts w:cs="Times New Roman"/>
          <w:sz w:val="24"/>
          <w:szCs w:val="24"/>
        </w:rPr>
      </w:pPr>
      <w:r w:rsidRPr="009978CF">
        <w:rPr>
          <w:rFonts w:cs="Times New Roman"/>
          <w:sz w:val="24"/>
          <w:szCs w:val="24"/>
        </w:rPr>
        <w:t xml:space="preserve">Olecko, </w:t>
      </w:r>
      <w:r w:rsidR="00F429C5" w:rsidRPr="009978CF">
        <w:rPr>
          <w:rFonts w:cs="Times New Roman"/>
          <w:sz w:val="24"/>
          <w:szCs w:val="24"/>
        </w:rPr>
        <w:t>8</w:t>
      </w:r>
      <w:r w:rsidR="0074137D" w:rsidRPr="009978CF">
        <w:rPr>
          <w:rFonts w:cs="Times New Roman"/>
          <w:sz w:val="24"/>
          <w:szCs w:val="24"/>
        </w:rPr>
        <w:t xml:space="preserve"> listopada</w:t>
      </w:r>
      <w:r w:rsidR="00EA5645" w:rsidRPr="009978CF">
        <w:rPr>
          <w:rFonts w:cs="Times New Roman"/>
          <w:sz w:val="24"/>
          <w:szCs w:val="24"/>
        </w:rPr>
        <w:t xml:space="preserve"> 2021</w:t>
      </w:r>
      <w:r w:rsidRPr="009978CF">
        <w:rPr>
          <w:rFonts w:cs="Times New Roman"/>
          <w:sz w:val="24"/>
          <w:szCs w:val="24"/>
        </w:rPr>
        <w:t xml:space="preserve"> r.</w:t>
      </w:r>
    </w:p>
    <w:sectPr w:rsidR="00212A30" w:rsidRPr="009978CF" w:rsidSect="009D6F39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E2"/>
    <w:multiLevelType w:val="hybridMultilevel"/>
    <w:tmpl w:val="C866927E"/>
    <w:lvl w:ilvl="0" w:tplc="870A165A">
      <w:start w:val="1"/>
      <w:numFmt w:val="lowerLetter"/>
      <w:lvlText w:val="%1)"/>
      <w:lvlJc w:val="left"/>
      <w:pPr>
        <w:ind w:left="21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0676F01"/>
    <w:multiLevelType w:val="hybridMultilevel"/>
    <w:tmpl w:val="DDBCFFEA"/>
    <w:lvl w:ilvl="0" w:tplc="B644ED9A">
      <w:start w:val="1"/>
      <w:numFmt w:val="decimal"/>
      <w:lvlText w:val="%1."/>
      <w:lvlJc w:val="left"/>
      <w:pPr>
        <w:ind w:left="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2">
    <w:nsid w:val="1BE427BD"/>
    <w:multiLevelType w:val="multilevel"/>
    <w:tmpl w:val="7280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F7D67"/>
    <w:multiLevelType w:val="hybridMultilevel"/>
    <w:tmpl w:val="D5F0D6E8"/>
    <w:lvl w:ilvl="0" w:tplc="52B0865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F9202D6"/>
    <w:multiLevelType w:val="hybridMultilevel"/>
    <w:tmpl w:val="AF5A7E86"/>
    <w:lvl w:ilvl="0" w:tplc="5B7405AE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8581BAF"/>
    <w:multiLevelType w:val="multilevel"/>
    <w:tmpl w:val="6FBC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16A2B"/>
    <w:multiLevelType w:val="hybridMultilevel"/>
    <w:tmpl w:val="A02073E0"/>
    <w:lvl w:ilvl="0" w:tplc="0415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>
    <w:nsid w:val="566364EE"/>
    <w:multiLevelType w:val="hybridMultilevel"/>
    <w:tmpl w:val="A7E0D8EC"/>
    <w:lvl w:ilvl="0" w:tplc="0415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66242DA8"/>
    <w:multiLevelType w:val="hybridMultilevel"/>
    <w:tmpl w:val="D7C665C8"/>
    <w:lvl w:ilvl="0" w:tplc="A678F70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31"/>
    <w:rsid w:val="00013D30"/>
    <w:rsid w:val="00026D64"/>
    <w:rsid w:val="0003410C"/>
    <w:rsid w:val="000440A7"/>
    <w:rsid w:val="0004469D"/>
    <w:rsid w:val="00054FEF"/>
    <w:rsid w:val="00072EC9"/>
    <w:rsid w:val="00091080"/>
    <w:rsid w:val="000941B7"/>
    <w:rsid w:val="000942F2"/>
    <w:rsid w:val="00097EE9"/>
    <w:rsid w:val="000A1554"/>
    <w:rsid w:val="000A315C"/>
    <w:rsid w:val="000A5818"/>
    <w:rsid w:val="000B2846"/>
    <w:rsid w:val="000C176E"/>
    <w:rsid w:val="000E795F"/>
    <w:rsid w:val="00122377"/>
    <w:rsid w:val="00170ED0"/>
    <w:rsid w:val="00185AA0"/>
    <w:rsid w:val="001A10AD"/>
    <w:rsid w:val="001B1EF7"/>
    <w:rsid w:val="001B57DE"/>
    <w:rsid w:val="001D1E5B"/>
    <w:rsid w:val="001D3BBF"/>
    <w:rsid w:val="001D4EF8"/>
    <w:rsid w:val="001F232C"/>
    <w:rsid w:val="00212A30"/>
    <w:rsid w:val="00212EFE"/>
    <w:rsid w:val="002141C2"/>
    <w:rsid w:val="002156CE"/>
    <w:rsid w:val="002159C7"/>
    <w:rsid w:val="002336B0"/>
    <w:rsid w:val="002436F9"/>
    <w:rsid w:val="0024553E"/>
    <w:rsid w:val="002733B4"/>
    <w:rsid w:val="00274D19"/>
    <w:rsid w:val="00280E5E"/>
    <w:rsid w:val="00293659"/>
    <w:rsid w:val="002C75AE"/>
    <w:rsid w:val="002D7FF2"/>
    <w:rsid w:val="003141D9"/>
    <w:rsid w:val="00330367"/>
    <w:rsid w:val="0033456A"/>
    <w:rsid w:val="00335885"/>
    <w:rsid w:val="0035464B"/>
    <w:rsid w:val="003556EA"/>
    <w:rsid w:val="003620B9"/>
    <w:rsid w:val="00363046"/>
    <w:rsid w:val="003827D6"/>
    <w:rsid w:val="003A42BB"/>
    <w:rsid w:val="003A6734"/>
    <w:rsid w:val="003C24DA"/>
    <w:rsid w:val="003F094A"/>
    <w:rsid w:val="003F1196"/>
    <w:rsid w:val="003F3EB7"/>
    <w:rsid w:val="00404F79"/>
    <w:rsid w:val="00412BD2"/>
    <w:rsid w:val="00414C73"/>
    <w:rsid w:val="00426AE1"/>
    <w:rsid w:val="004300E6"/>
    <w:rsid w:val="00431EA6"/>
    <w:rsid w:val="0044012E"/>
    <w:rsid w:val="004735FD"/>
    <w:rsid w:val="00481705"/>
    <w:rsid w:val="004835C6"/>
    <w:rsid w:val="00491F10"/>
    <w:rsid w:val="004A7C54"/>
    <w:rsid w:val="004B3B69"/>
    <w:rsid w:val="004C01AE"/>
    <w:rsid w:val="004D7797"/>
    <w:rsid w:val="004E308D"/>
    <w:rsid w:val="004F6D02"/>
    <w:rsid w:val="0050047E"/>
    <w:rsid w:val="0050691A"/>
    <w:rsid w:val="0051556E"/>
    <w:rsid w:val="00530B95"/>
    <w:rsid w:val="005569E1"/>
    <w:rsid w:val="00556F53"/>
    <w:rsid w:val="0057449D"/>
    <w:rsid w:val="005872CD"/>
    <w:rsid w:val="005A24B1"/>
    <w:rsid w:val="005C7639"/>
    <w:rsid w:val="005E27F8"/>
    <w:rsid w:val="005F3A16"/>
    <w:rsid w:val="005F3F44"/>
    <w:rsid w:val="00602BE5"/>
    <w:rsid w:val="00606D77"/>
    <w:rsid w:val="0060702A"/>
    <w:rsid w:val="00633535"/>
    <w:rsid w:val="0063668C"/>
    <w:rsid w:val="00641CD0"/>
    <w:rsid w:val="006473FC"/>
    <w:rsid w:val="006522BC"/>
    <w:rsid w:val="00661B17"/>
    <w:rsid w:val="00677B18"/>
    <w:rsid w:val="00684E5A"/>
    <w:rsid w:val="006A47A0"/>
    <w:rsid w:val="006A7A85"/>
    <w:rsid w:val="006B191F"/>
    <w:rsid w:val="006B715A"/>
    <w:rsid w:val="006D3D14"/>
    <w:rsid w:val="006E27C2"/>
    <w:rsid w:val="006E4425"/>
    <w:rsid w:val="006F3134"/>
    <w:rsid w:val="00702696"/>
    <w:rsid w:val="00703F2C"/>
    <w:rsid w:val="0072749B"/>
    <w:rsid w:val="0074137D"/>
    <w:rsid w:val="00751097"/>
    <w:rsid w:val="00757181"/>
    <w:rsid w:val="00763FFD"/>
    <w:rsid w:val="007676AC"/>
    <w:rsid w:val="007744DB"/>
    <w:rsid w:val="007805F1"/>
    <w:rsid w:val="007A6D87"/>
    <w:rsid w:val="007B2C57"/>
    <w:rsid w:val="007C03A5"/>
    <w:rsid w:val="007C46AF"/>
    <w:rsid w:val="007D0854"/>
    <w:rsid w:val="007E0EDA"/>
    <w:rsid w:val="007E7E58"/>
    <w:rsid w:val="00800372"/>
    <w:rsid w:val="00801447"/>
    <w:rsid w:val="0083683C"/>
    <w:rsid w:val="008426A7"/>
    <w:rsid w:val="008515ED"/>
    <w:rsid w:val="0086429A"/>
    <w:rsid w:val="008B76BC"/>
    <w:rsid w:val="008E44FA"/>
    <w:rsid w:val="008F7755"/>
    <w:rsid w:val="009073EC"/>
    <w:rsid w:val="0096305C"/>
    <w:rsid w:val="00964731"/>
    <w:rsid w:val="00973091"/>
    <w:rsid w:val="00994818"/>
    <w:rsid w:val="00997456"/>
    <w:rsid w:val="009978CF"/>
    <w:rsid w:val="009A4C14"/>
    <w:rsid w:val="009B7B9D"/>
    <w:rsid w:val="009D6F39"/>
    <w:rsid w:val="009E649D"/>
    <w:rsid w:val="009E6F2E"/>
    <w:rsid w:val="00A05D89"/>
    <w:rsid w:val="00A117D3"/>
    <w:rsid w:val="00A11CBC"/>
    <w:rsid w:val="00A14812"/>
    <w:rsid w:val="00A25F38"/>
    <w:rsid w:val="00A548D8"/>
    <w:rsid w:val="00A73E30"/>
    <w:rsid w:val="00A75F15"/>
    <w:rsid w:val="00A86B62"/>
    <w:rsid w:val="00A94C77"/>
    <w:rsid w:val="00AF050B"/>
    <w:rsid w:val="00B0149D"/>
    <w:rsid w:val="00B150B3"/>
    <w:rsid w:val="00B16EF3"/>
    <w:rsid w:val="00B20688"/>
    <w:rsid w:val="00B26AEC"/>
    <w:rsid w:val="00B270B7"/>
    <w:rsid w:val="00B30639"/>
    <w:rsid w:val="00B428BB"/>
    <w:rsid w:val="00B56991"/>
    <w:rsid w:val="00B71F3B"/>
    <w:rsid w:val="00B94689"/>
    <w:rsid w:val="00B97189"/>
    <w:rsid w:val="00BC4CAF"/>
    <w:rsid w:val="00BD71E9"/>
    <w:rsid w:val="00C0078A"/>
    <w:rsid w:val="00C0229D"/>
    <w:rsid w:val="00C25BDD"/>
    <w:rsid w:val="00C26039"/>
    <w:rsid w:val="00C36FEB"/>
    <w:rsid w:val="00C37971"/>
    <w:rsid w:val="00C46F15"/>
    <w:rsid w:val="00C7411B"/>
    <w:rsid w:val="00C75ED0"/>
    <w:rsid w:val="00C85D54"/>
    <w:rsid w:val="00C86DB2"/>
    <w:rsid w:val="00CA2A01"/>
    <w:rsid w:val="00CB25F7"/>
    <w:rsid w:val="00CB7F64"/>
    <w:rsid w:val="00CD3B9D"/>
    <w:rsid w:val="00CE1547"/>
    <w:rsid w:val="00D00E38"/>
    <w:rsid w:val="00D0131C"/>
    <w:rsid w:val="00D05339"/>
    <w:rsid w:val="00D069D5"/>
    <w:rsid w:val="00D203B3"/>
    <w:rsid w:val="00D34253"/>
    <w:rsid w:val="00D4170F"/>
    <w:rsid w:val="00D43D26"/>
    <w:rsid w:val="00D56C4F"/>
    <w:rsid w:val="00DB5907"/>
    <w:rsid w:val="00DF0AFA"/>
    <w:rsid w:val="00DF101D"/>
    <w:rsid w:val="00DF4CFE"/>
    <w:rsid w:val="00DF5BB0"/>
    <w:rsid w:val="00E317B3"/>
    <w:rsid w:val="00E31D79"/>
    <w:rsid w:val="00E46663"/>
    <w:rsid w:val="00E512B8"/>
    <w:rsid w:val="00E5392D"/>
    <w:rsid w:val="00E6100E"/>
    <w:rsid w:val="00E62B4F"/>
    <w:rsid w:val="00E70B41"/>
    <w:rsid w:val="00E73E10"/>
    <w:rsid w:val="00E96042"/>
    <w:rsid w:val="00EA5645"/>
    <w:rsid w:val="00EC0BAF"/>
    <w:rsid w:val="00ED2FE4"/>
    <w:rsid w:val="00EE148F"/>
    <w:rsid w:val="00EE2AD8"/>
    <w:rsid w:val="00EE5D6B"/>
    <w:rsid w:val="00F03C5B"/>
    <w:rsid w:val="00F10F65"/>
    <w:rsid w:val="00F36571"/>
    <w:rsid w:val="00F429C5"/>
    <w:rsid w:val="00F66FDD"/>
    <w:rsid w:val="00F73206"/>
    <w:rsid w:val="00F8624A"/>
    <w:rsid w:val="00F91A5F"/>
    <w:rsid w:val="00FA1413"/>
    <w:rsid w:val="00FB0150"/>
    <w:rsid w:val="00FD21F0"/>
    <w:rsid w:val="00FD22A1"/>
    <w:rsid w:val="00FD549D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E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B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9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3E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B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9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1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oleck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olec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molecko.bip.d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m.olec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4958-31F7-4522-9D1D-503458AA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2100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Żlegowska</dc:creator>
  <cp:lastModifiedBy> Żlegowska</cp:lastModifiedBy>
  <cp:revision>27</cp:revision>
  <cp:lastPrinted>2021-11-08T12:02:00Z</cp:lastPrinted>
  <dcterms:created xsi:type="dcterms:W3CDTF">2021-10-22T08:32:00Z</dcterms:created>
  <dcterms:modified xsi:type="dcterms:W3CDTF">2021-11-08T12:03:00Z</dcterms:modified>
</cp:coreProperties>
</file>